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54AE" w14:textId="6A7E3EA4" w:rsidR="00531368" w:rsidRPr="00B21A77" w:rsidRDefault="00601E6A" w:rsidP="00B21A77">
      <w:pPr>
        <w:pStyle w:val="TableParagraph"/>
        <w:spacing w:before="0"/>
        <w:ind w:left="102"/>
        <w:jc w:val="right"/>
        <w:rPr>
          <w:rFonts w:ascii="Times New Roman" w:eastAsia="Times New Roman" w:hAnsi="Times New Roman" w:cs="Times New Roman"/>
          <w:b/>
          <w:bCs/>
          <w:color w:val="C00000"/>
          <w:sz w:val="28"/>
          <w:szCs w:val="28"/>
          <w:lang w:val="en-US" w:eastAsia="es-EC"/>
        </w:rPr>
      </w:pPr>
      <w:bookmarkStart w:id="0" w:name="_Hlk200735436"/>
      <w:r w:rsidRPr="00B21A77">
        <w:rPr>
          <w:rFonts w:ascii="Times New Roman" w:eastAsia="Times New Roman" w:hAnsi="Times New Roman" w:cs="Times New Roman"/>
          <w:b/>
          <w:bCs/>
          <w:color w:val="C00000"/>
          <w:sz w:val="28"/>
          <w:szCs w:val="28"/>
          <w:lang w:val="en-US" w:eastAsia="es-EC"/>
        </w:rPr>
        <w:t>Analysis of due process and the right to defense in the admissibility phase of criminal cassation appeals, created by Resolution 10-2015 by the National Court of Justice.</w:t>
      </w:r>
    </w:p>
    <w:p w14:paraId="63AAF192" w14:textId="4819E363" w:rsidR="00CE2A63" w:rsidRPr="003E6585" w:rsidRDefault="00CE2A63" w:rsidP="003E6585">
      <w:pPr>
        <w:spacing w:line="276" w:lineRule="auto"/>
        <w:ind w:left="100"/>
        <w:jc w:val="right"/>
        <w:rPr>
          <w:rFonts w:ascii="Times New Roman" w:hAnsi="Times New Roman" w:cs="Times New Roman"/>
          <w:b/>
          <w:sz w:val="28"/>
          <w:szCs w:val="28"/>
        </w:rPr>
      </w:pPr>
      <w:r w:rsidRPr="008B288B">
        <w:rPr>
          <w:rFonts w:ascii="Times New Roman" w:hAnsi="Times New Roman" w:cs="Times New Roman"/>
          <w:b/>
          <w:sz w:val="28"/>
          <w:szCs w:val="28"/>
          <w:lang w:val="es-ES"/>
        </w:rPr>
        <w:t xml:space="preserve">Análisis </w:t>
      </w:r>
      <w:r w:rsidR="008B288B" w:rsidRPr="008B288B">
        <w:rPr>
          <w:rFonts w:ascii="Times New Roman" w:hAnsi="Times New Roman" w:cs="Times New Roman"/>
          <w:b/>
          <w:sz w:val="28"/>
          <w:szCs w:val="28"/>
          <w:lang w:val="es-ES"/>
        </w:rPr>
        <w:t>d</w:t>
      </w:r>
      <w:r w:rsidR="008B288B" w:rsidRPr="008B288B">
        <w:rPr>
          <w:rFonts w:ascii="Times New Roman" w:hAnsi="Times New Roman" w:cs="Times New Roman"/>
          <w:b/>
          <w:sz w:val="28"/>
          <w:szCs w:val="28"/>
        </w:rPr>
        <w:t xml:space="preserve">el debido proceso y </w:t>
      </w:r>
      <w:r w:rsidR="00601E6A">
        <w:rPr>
          <w:rFonts w:ascii="Times New Roman" w:hAnsi="Times New Roman" w:cs="Times New Roman"/>
          <w:b/>
          <w:sz w:val="28"/>
          <w:szCs w:val="28"/>
        </w:rPr>
        <w:t>d</w:t>
      </w:r>
      <w:r w:rsidR="008B288B" w:rsidRPr="008B288B">
        <w:rPr>
          <w:rFonts w:ascii="Times New Roman" w:hAnsi="Times New Roman" w:cs="Times New Roman"/>
          <w:b/>
          <w:sz w:val="28"/>
          <w:szCs w:val="28"/>
        </w:rPr>
        <w:t>el derecho a la defensa</w:t>
      </w:r>
      <w:r w:rsidRPr="008B288B">
        <w:rPr>
          <w:rFonts w:ascii="Times New Roman" w:hAnsi="Times New Roman" w:cs="Times New Roman"/>
          <w:b/>
          <w:sz w:val="28"/>
          <w:szCs w:val="28"/>
          <w:lang w:val="es-ES"/>
        </w:rPr>
        <w:t xml:space="preserve"> en la</w:t>
      </w:r>
      <w:r w:rsidRPr="008B288B">
        <w:rPr>
          <w:rFonts w:ascii="Times New Roman" w:hAnsi="Times New Roman" w:cs="Times New Roman"/>
          <w:b/>
          <w:sz w:val="28"/>
          <w:szCs w:val="28"/>
        </w:rPr>
        <w:t xml:space="preserve"> fase de admisibilidad del recurso de casación penal, crea</w:t>
      </w:r>
      <w:r w:rsidR="00601E6A">
        <w:rPr>
          <w:rFonts w:ascii="Times New Roman" w:hAnsi="Times New Roman" w:cs="Times New Roman"/>
          <w:b/>
          <w:sz w:val="28"/>
          <w:szCs w:val="28"/>
        </w:rPr>
        <w:t xml:space="preserve">da mediante Resolución </w:t>
      </w:r>
      <w:r w:rsidR="00B9258B">
        <w:rPr>
          <w:rFonts w:ascii="Times New Roman" w:hAnsi="Times New Roman" w:cs="Times New Roman"/>
          <w:b/>
          <w:sz w:val="28"/>
          <w:szCs w:val="28"/>
        </w:rPr>
        <w:t>No.</w:t>
      </w:r>
      <w:r w:rsidR="00601E6A">
        <w:rPr>
          <w:rFonts w:ascii="Times New Roman" w:hAnsi="Times New Roman" w:cs="Times New Roman"/>
          <w:b/>
          <w:sz w:val="28"/>
          <w:szCs w:val="28"/>
        </w:rPr>
        <w:t>10-2015 por la C</w:t>
      </w:r>
      <w:r w:rsidRPr="008B288B">
        <w:rPr>
          <w:rFonts w:ascii="Times New Roman" w:hAnsi="Times New Roman" w:cs="Times New Roman"/>
          <w:b/>
          <w:sz w:val="28"/>
          <w:szCs w:val="28"/>
        </w:rPr>
        <w:t xml:space="preserve">orte </w:t>
      </w:r>
      <w:r w:rsidR="00601E6A">
        <w:rPr>
          <w:rFonts w:ascii="Times New Roman" w:hAnsi="Times New Roman" w:cs="Times New Roman"/>
          <w:b/>
          <w:sz w:val="28"/>
          <w:szCs w:val="28"/>
        </w:rPr>
        <w:t>Nacional de J</w:t>
      </w:r>
      <w:r w:rsidRPr="008B288B">
        <w:rPr>
          <w:rFonts w:ascii="Times New Roman" w:hAnsi="Times New Roman" w:cs="Times New Roman"/>
          <w:b/>
          <w:sz w:val="28"/>
          <w:szCs w:val="28"/>
        </w:rPr>
        <w:t>usticia.</w:t>
      </w:r>
    </w:p>
    <w:bookmarkEnd w:id="0"/>
    <w:p w14:paraId="376E941D" w14:textId="77777777" w:rsidR="00601E6A" w:rsidRDefault="00601E6A" w:rsidP="00C54C0B">
      <w:pPr>
        <w:jc w:val="right"/>
        <w:rPr>
          <w:rFonts w:ascii="Times New Roman" w:hAnsi="Times New Roman" w:cs="Times New Roman"/>
          <w:b/>
          <w:sz w:val="24"/>
          <w:szCs w:val="24"/>
        </w:rPr>
      </w:pPr>
      <w:r w:rsidRPr="00725CA3">
        <w:rPr>
          <w:rFonts w:ascii="Times New Roman" w:hAnsi="Times New Roman" w:cs="Times New Roman"/>
          <w:b/>
          <w:sz w:val="24"/>
          <w:szCs w:val="24"/>
        </w:rPr>
        <w:t>Autores:</w:t>
      </w:r>
    </w:p>
    <w:p w14:paraId="2834DAE1" w14:textId="4D55A6FE"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Quezada</w:t>
      </w:r>
      <w:r w:rsidR="00B21A77" w:rsidRPr="00B21A77">
        <w:rPr>
          <w:rFonts w:ascii="Times New Roman" w:hAnsi="Times New Roman" w:cs="Times New Roman"/>
          <w:bCs/>
        </w:rPr>
        <w:t>-</w:t>
      </w:r>
      <w:r w:rsidRPr="00B21A77">
        <w:rPr>
          <w:rFonts w:ascii="Times New Roman" w:hAnsi="Times New Roman" w:cs="Times New Roman"/>
          <w:bCs/>
        </w:rPr>
        <w:t xml:space="preserve">Morocho, </w:t>
      </w:r>
      <w:r w:rsidR="008202F0" w:rsidRPr="00B21A77">
        <w:rPr>
          <w:rFonts w:ascii="Times New Roman" w:hAnsi="Times New Roman" w:cs="Times New Roman"/>
          <w:bCs/>
        </w:rPr>
        <w:t>Álvaro</w:t>
      </w:r>
      <w:r w:rsidRPr="00B21A77">
        <w:rPr>
          <w:rFonts w:ascii="Times New Roman" w:hAnsi="Times New Roman" w:cs="Times New Roman"/>
          <w:bCs/>
        </w:rPr>
        <w:t xml:space="preserve"> Fernando </w:t>
      </w:r>
    </w:p>
    <w:p w14:paraId="0EBDAD7A" w14:textId="77777777"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UNIVERSIDAD BOLIVARIANA DEL ECUADOR</w:t>
      </w:r>
    </w:p>
    <w:p w14:paraId="1DB4DC97" w14:textId="77777777"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Abogado</w:t>
      </w:r>
    </w:p>
    <w:p w14:paraId="3E7F5A55" w14:textId="77777777"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Maestrante en Derecho Procesal</w:t>
      </w:r>
    </w:p>
    <w:p w14:paraId="1A9FC000" w14:textId="169DD593" w:rsidR="00CE2A63" w:rsidRPr="00B21A77" w:rsidRDefault="00923FEF" w:rsidP="00B21A77">
      <w:pPr>
        <w:jc w:val="right"/>
        <w:rPr>
          <w:rFonts w:ascii="Times New Roman" w:hAnsi="Times New Roman" w:cs="Times New Roman"/>
          <w:bCs/>
        </w:rPr>
      </w:pPr>
      <w:r w:rsidRPr="00B21A77">
        <w:rPr>
          <w:rFonts w:ascii="Times New Roman" w:hAnsi="Times New Roman" w:cs="Times New Roman"/>
          <w:bCs/>
        </w:rPr>
        <w:t>Guayaquil</w:t>
      </w:r>
      <w:r w:rsidR="00601E6A" w:rsidRPr="00B21A77">
        <w:rPr>
          <w:rFonts w:ascii="Times New Roman" w:hAnsi="Times New Roman" w:cs="Times New Roman"/>
          <w:bCs/>
        </w:rPr>
        <w:t>- Ecuador</w:t>
      </w:r>
    </w:p>
    <w:p w14:paraId="2E91FBD8" w14:textId="52B8B34B" w:rsidR="00601E6A" w:rsidRPr="00B21A77" w:rsidRDefault="00601E6A" w:rsidP="00B21A77">
      <w:pPr>
        <w:jc w:val="right"/>
        <w:rPr>
          <w:rStyle w:val="Hipervnculo"/>
          <w:rFonts w:ascii="Times New Roman" w:hAnsi="Times New Roman" w:cs="Times New Roman"/>
          <w:bCs/>
          <w:u w:val="none"/>
        </w:rPr>
      </w:pPr>
      <w:r w:rsidRPr="00B21A77">
        <w:rPr>
          <w:rFonts w:ascii="Times New Roman" w:hAnsi="Times New Roman" w:cs="Times New Roman"/>
          <w:bCs/>
          <w:noProof/>
          <w:lang w:eastAsia="es-EC"/>
        </w:rPr>
        <w:drawing>
          <wp:inline distT="0" distB="0" distL="0" distR="0" wp14:anchorId="49257D04" wp14:editId="3E39CC1C">
            <wp:extent cx="174372" cy="167666"/>
            <wp:effectExtent l="0" t="0" r="0" b="3810"/>
            <wp:docPr id="1913552424" name="Imagen 1913552424"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52424" name="Imagen 1913552424" descr="Icon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89" cy="183836"/>
                    </a:xfrm>
                    <a:prstGeom prst="rect">
                      <a:avLst/>
                    </a:prstGeom>
                  </pic:spPr>
                </pic:pic>
              </a:graphicData>
            </a:graphic>
          </wp:inline>
        </w:drawing>
      </w:r>
      <w:r w:rsidRPr="00B21A77">
        <w:rPr>
          <w:rFonts w:ascii="Times New Roman" w:hAnsi="Times New Roman" w:cs="Times New Roman"/>
          <w:bCs/>
        </w:rPr>
        <w:t xml:space="preserve">  </w:t>
      </w:r>
      <w:r w:rsidR="004B344C" w:rsidRPr="00B21A77">
        <w:rPr>
          <w:rStyle w:val="Hipervnculo"/>
          <w:bCs/>
        </w:rPr>
        <w:t>quezadam</w:t>
      </w:r>
      <w:hyperlink r:id="rId9" w:history="1">
        <w:r w:rsidR="004B344C" w:rsidRPr="00B21A77">
          <w:rPr>
            <w:rStyle w:val="Hipervnculo"/>
            <w:rFonts w:ascii="Times New Roman" w:hAnsi="Times New Roman" w:cs="Times New Roman"/>
            <w:bCs/>
          </w:rPr>
          <w:t>@ube.edu.ec</w:t>
        </w:r>
      </w:hyperlink>
    </w:p>
    <w:p w14:paraId="31774F2F" w14:textId="21E30E4C" w:rsidR="00601E6A" w:rsidRPr="00B21A77" w:rsidRDefault="00601E6A" w:rsidP="00B21A77">
      <w:pPr>
        <w:autoSpaceDE w:val="0"/>
        <w:autoSpaceDN w:val="0"/>
        <w:adjustRightInd w:val="0"/>
        <w:jc w:val="right"/>
        <w:rPr>
          <w:rFonts w:ascii="Times New Roman" w:hAnsi="Times New Roman" w:cs="Times New Roman"/>
          <w:bCs/>
          <w:color w:val="000000" w:themeColor="text1"/>
        </w:rPr>
      </w:pPr>
      <w:r w:rsidRPr="00B21A77">
        <w:rPr>
          <w:bCs/>
          <w:noProof/>
          <w:lang w:eastAsia="es-EC"/>
        </w:rPr>
        <w:drawing>
          <wp:inline distT="0" distB="0" distL="0" distR="0" wp14:anchorId="4A5816DA" wp14:editId="30718A61">
            <wp:extent cx="176654" cy="174236"/>
            <wp:effectExtent l="0" t="0" r="0" b="0"/>
            <wp:docPr id="2047655408" name="Imagen 204765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0309" cy="187704"/>
                    </a:xfrm>
                    <a:prstGeom prst="rect">
                      <a:avLst/>
                    </a:prstGeom>
                    <a:noFill/>
                    <a:ln>
                      <a:noFill/>
                    </a:ln>
                  </pic:spPr>
                </pic:pic>
              </a:graphicData>
            </a:graphic>
          </wp:inline>
        </w:drawing>
      </w:r>
      <w:r w:rsidRPr="00B21A77">
        <w:rPr>
          <w:rFonts w:ascii="Times New Roman" w:hAnsi="Times New Roman" w:cs="Times New Roman"/>
          <w:bCs/>
          <w:color w:val="000000" w:themeColor="text1"/>
        </w:rPr>
        <w:t xml:space="preserve">   </w:t>
      </w:r>
      <w:hyperlink r:id="rId11" w:history="1">
        <w:r w:rsidR="004B344C" w:rsidRPr="00B21A77">
          <w:rPr>
            <w:rStyle w:val="Hipervnculo"/>
            <w:rFonts w:ascii="Times New Roman" w:hAnsi="Times New Roman" w:cs="Times New Roman"/>
            <w:bCs/>
          </w:rPr>
          <w:t>https://orcid.org/0009-0000-5710-8029</w:t>
        </w:r>
      </w:hyperlink>
    </w:p>
    <w:p w14:paraId="3CE2488B" w14:textId="77777777" w:rsidR="00CE2A63" w:rsidRPr="00B21A77" w:rsidRDefault="00CE2A63" w:rsidP="00B21A77">
      <w:pPr>
        <w:jc w:val="right"/>
        <w:rPr>
          <w:rFonts w:ascii="Times New Roman" w:hAnsi="Times New Roman" w:cs="Times New Roman"/>
          <w:bCs/>
        </w:rPr>
      </w:pPr>
    </w:p>
    <w:p w14:paraId="1A182027" w14:textId="578FB3EC"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Morocho</w:t>
      </w:r>
      <w:r w:rsidR="00B21A77" w:rsidRPr="00B21A77">
        <w:rPr>
          <w:rFonts w:ascii="Times New Roman" w:hAnsi="Times New Roman" w:cs="Times New Roman"/>
          <w:bCs/>
        </w:rPr>
        <w:t>-</w:t>
      </w:r>
      <w:r w:rsidRPr="00B21A77">
        <w:rPr>
          <w:rFonts w:ascii="Times New Roman" w:hAnsi="Times New Roman" w:cs="Times New Roman"/>
          <w:bCs/>
        </w:rPr>
        <w:t>Terán, Cinthia Estefanía</w:t>
      </w:r>
    </w:p>
    <w:p w14:paraId="2A96340A" w14:textId="77777777"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UNIVERSIDAD BOLIVARIANA DEL ECUADOR</w:t>
      </w:r>
    </w:p>
    <w:p w14:paraId="5F571C21" w14:textId="77777777" w:rsidR="00601E6A" w:rsidRPr="00B21A77" w:rsidRDefault="00601E6A" w:rsidP="00B21A77">
      <w:pPr>
        <w:jc w:val="right"/>
        <w:rPr>
          <w:rFonts w:ascii="Times New Roman" w:hAnsi="Times New Roman" w:cs="Times New Roman"/>
          <w:bCs/>
        </w:rPr>
      </w:pPr>
      <w:r w:rsidRPr="00B21A77">
        <w:rPr>
          <w:rFonts w:ascii="Times New Roman" w:hAnsi="Times New Roman" w:cs="Times New Roman"/>
          <w:bCs/>
        </w:rPr>
        <w:t>Abogada</w:t>
      </w:r>
    </w:p>
    <w:p w14:paraId="40BD52BF" w14:textId="42B9713B" w:rsidR="00CE2A63" w:rsidRPr="00B21A77" w:rsidRDefault="00601E6A" w:rsidP="00B21A77">
      <w:pPr>
        <w:jc w:val="right"/>
        <w:rPr>
          <w:rFonts w:ascii="Times New Roman" w:hAnsi="Times New Roman" w:cs="Times New Roman"/>
          <w:bCs/>
        </w:rPr>
      </w:pPr>
      <w:r w:rsidRPr="00B21A77">
        <w:rPr>
          <w:rFonts w:ascii="Times New Roman" w:hAnsi="Times New Roman" w:cs="Times New Roman"/>
          <w:bCs/>
        </w:rPr>
        <w:t xml:space="preserve">Maestrante </w:t>
      </w:r>
      <w:r w:rsidR="00CE2A63" w:rsidRPr="00B21A77">
        <w:rPr>
          <w:rFonts w:ascii="Times New Roman" w:hAnsi="Times New Roman" w:cs="Times New Roman"/>
          <w:bCs/>
        </w:rPr>
        <w:t>en Derecho Procesal</w:t>
      </w:r>
    </w:p>
    <w:p w14:paraId="2BFD8F86" w14:textId="55393F12" w:rsidR="00CE2A63" w:rsidRPr="00B21A77" w:rsidRDefault="00923FEF" w:rsidP="00B21A77">
      <w:pPr>
        <w:jc w:val="right"/>
        <w:rPr>
          <w:rFonts w:ascii="Times New Roman" w:hAnsi="Times New Roman" w:cs="Times New Roman"/>
          <w:bCs/>
        </w:rPr>
      </w:pPr>
      <w:r w:rsidRPr="00B21A77">
        <w:rPr>
          <w:rFonts w:ascii="Times New Roman" w:hAnsi="Times New Roman" w:cs="Times New Roman"/>
          <w:bCs/>
        </w:rPr>
        <w:t>Guayaquil</w:t>
      </w:r>
      <w:r w:rsidR="00CE2A63" w:rsidRPr="00B21A77">
        <w:rPr>
          <w:rFonts w:ascii="Times New Roman" w:hAnsi="Times New Roman" w:cs="Times New Roman"/>
          <w:bCs/>
        </w:rPr>
        <w:t>-Ecuador</w:t>
      </w:r>
    </w:p>
    <w:p w14:paraId="12B91C18" w14:textId="7B1F9361" w:rsidR="00601E6A" w:rsidRPr="00B21A77" w:rsidRDefault="00601E6A" w:rsidP="00B21A77">
      <w:pPr>
        <w:jc w:val="right"/>
        <w:rPr>
          <w:rStyle w:val="Hipervnculo"/>
          <w:rFonts w:ascii="Times New Roman" w:hAnsi="Times New Roman" w:cs="Times New Roman"/>
          <w:bCs/>
          <w:u w:val="none"/>
        </w:rPr>
      </w:pPr>
      <w:r w:rsidRPr="00B21A77">
        <w:rPr>
          <w:rFonts w:ascii="Times New Roman" w:hAnsi="Times New Roman" w:cs="Times New Roman"/>
          <w:bCs/>
          <w:noProof/>
          <w:lang w:eastAsia="es-EC"/>
        </w:rPr>
        <w:drawing>
          <wp:inline distT="0" distB="0" distL="0" distR="0" wp14:anchorId="1ACF78E9" wp14:editId="245E3C91">
            <wp:extent cx="174372" cy="167666"/>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89" cy="183836"/>
                    </a:xfrm>
                    <a:prstGeom prst="rect">
                      <a:avLst/>
                    </a:prstGeom>
                  </pic:spPr>
                </pic:pic>
              </a:graphicData>
            </a:graphic>
          </wp:inline>
        </w:drawing>
      </w:r>
      <w:r w:rsidRPr="00B21A77">
        <w:rPr>
          <w:rFonts w:ascii="Times New Roman" w:hAnsi="Times New Roman" w:cs="Times New Roman"/>
          <w:bCs/>
        </w:rPr>
        <w:t xml:space="preserve">  </w:t>
      </w:r>
      <w:r w:rsidR="001B7447" w:rsidRPr="00B21A77">
        <w:rPr>
          <w:rStyle w:val="Hipervnculo"/>
          <w:bCs/>
        </w:rPr>
        <w:t>cemorochot</w:t>
      </w:r>
      <w:hyperlink r:id="rId12" w:history="1">
        <w:r w:rsidR="001B7447" w:rsidRPr="00B21A77">
          <w:rPr>
            <w:rStyle w:val="Hipervnculo"/>
            <w:rFonts w:ascii="Times New Roman" w:hAnsi="Times New Roman" w:cs="Times New Roman"/>
            <w:bCs/>
          </w:rPr>
          <w:t>@ube.edu.ec</w:t>
        </w:r>
      </w:hyperlink>
    </w:p>
    <w:p w14:paraId="1F075525" w14:textId="7C8E59A0" w:rsidR="000C0AC5" w:rsidRPr="00B21A77" w:rsidRDefault="00000000" w:rsidP="00B21A77">
      <w:pPr>
        <w:autoSpaceDE w:val="0"/>
        <w:autoSpaceDN w:val="0"/>
        <w:adjustRightInd w:val="0"/>
        <w:jc w:val="right"/>
        <w:rPr>
          <w:rFonts w:ascii="Times New Roman" w:hAnsi="Times New Roman" w:cs="Times New Roman"/>
          <w:bCs/>
        </w:rPr>
      </w:pPr>
      <w:r w:rsidRPr="00B21A77">
        <w:rPr>
          <w:bCs/>
        </w:rPr>
        <w:pict w14:anchorId="1FFFFA1A">
          <v:shape id="Imagen 3" o:spid="_x0000_i1027" type="#_x0000_t75" style="width:14.25pt;height:13.5pt;flip:x;visibility:visible;mso-wrap-style:square">
            <v:imagedata r:id="rId13" o:title=""/>
          </v:shape>
        </w:pict>
      </w:r>
      <w:r w:rsidR="00601E6A" w:rsidRPr="00B21A77">
        <w:rPr>
          <w:rFonts w:ascii="Times New Roman" w:hAnsi="Times New Roman" w:cs="Times New Roman"/>
          <w:bCs/>
          <w:color w:val="000000" w:themeColor="text1"/>
        </w:rPr>
        <w:t xml:space="preserve">   </w:t>
      </w:r>
      <w:hyperlink r:id="rId14" w:history="1">
        <w:r w:rsidR="001B7447" w:rsidRPr="00B21A77">
          <w:rPr>
            <w:rStyle w:val="Hipervnculo"/>
            <w:rFonts w:ascii="Times New Roman" w:hAnsi="Times New Roman" w:cs="Times New Roman"/>
            <w:bCs/>
          </w:rPr>
          <w:t>https://orcid.org/0009-0000-9132-7014</w:t>
        </w:r>
      </w:hyperlink>
    </w:p>
    <w:p w14:paraId="3E9EBF8F" w14:textId="77777777" w:rsidR="002F322E" w:rsidRPr="00B21A77" w:rsidRDefault="002F322E" w:rsidP="00B21A77">
      <w:pPr>
        <w:autoSpaceDE w:val="0"/>
        <w:autoSpaceDN w:val="0"/>
        <w:adjustRightInd w:val="0"/>
        <w:jc w:val="right"/>
        <w:rPr>
          <w:rFonts w:ascii="Times New Roman" w:hAnsi="Times New Roman" w:cs="Times New Roman"/>
          <w:bCs/>
        </w:rPr>
      </w:pPr>
    </w:p>
    <w:p w14:paraId="3CBF2085" w14:textId="0BD91064" w:rsidR="007E355E" w:rsidRPr="00B21A77" w:rsidRDefault="007E355E" w:rsidP="00B21A77">
      <w:pPr>
        <w:jc w:val="right"/>
        <w:rPr>
          <w:rFonts w:ascii="Times New Roman" w:hAnsi="Times New Roman" w:cs="Times New Roman"/>
          <w:bCs/>
        </w:rPr>
      </w:pPr>
      <w:r w:rsidRPr="00B21A77">
        <w:rPr>
          <w:rFonts w:ascii="Times New Roman" w:hAnsi="Times New Roman" w:cs="Times New Roman"/>
          <w:bCs/>
        </w:rPr>
        <w:t>Landy</w:t>
      </w:r>
      <w:r w:rsidR="00B21A77" w:rsidRPr="00B21A77">
        <w:rPr>
          <w:rFonts w:ascii="Times New Roman" w:hAnsi="Times New Roman" w:cs="Times New Roman"/>
          <w:bCs/>
        </w:rPr>
        <w:t>-</w:t>
      </w:r>
      <w:r w:rsidRPr="00B21A77">
        <w:rPr>
          <w:rFonts w:ascii="Times New Roman" w:hAnsi="Times New Roman" w:cs="Times New Roman"/>
          <w:bCs/>
        </w:rPr>
        <w:t>Soria, Wendy Tamara</w:t>
      </w:r>
    </w:p>
    <w:p w14:paraId="0C7ED341" w14:textId="276EA3F9" w:rsidR="00B21A77" w:rsidRPr="00B21A77" w:rsidRDefault="00B21A77" w:rsidP="00B21A77">
      <w:pPr>
        <w:jc w:val="right"/>
        <w:rPr>
          <w:rFonts w:ascii="Times New Roman" w:hAnsi="Times New Roman" w:cs="Times New Roman"/>
          <w:bCs/>
        </w:rPr>
      </w:pPr>
      <w:r w:rsidRPr="00B21A77">
        <w:rPr>
          <w:rFonts w:ascii="Times New Roman" w:hAnsi="Times New Roman" w:cs="Times New Roman"/>
          <w:bCs/>
        </w:rPr>
        <w:t>UNIVERSIDAD BOLIVARIANA DEL ECUADOR</w:t>
      </w:r>
    </w:p>
    <w:p w14:paraId="0B4F5773" w14:textId="77777777" w:rsidR="007E355E" w:rsidRPr="00B21A77" w:rsidRDefault="007E355E" w:rsidP="00B21A77">
      <w:pPr>
        <w:jc w:val="right"/>
        <w:rPr>
          <w:rFonts w:ascii="Times New Roman" w:hAnsi="Times New Roman" w:cs="Times New Roman"/>
          <w:bCs/>
        </w:rPr>
      </w:pPr>
      <w:r w:rsidRPr="00B21A77">
        <w:rPr>
          <w:rFonts w:ascii="Times New Roman" w:hAnsi="Times New Roman" w:cs="Times New Roman"/>
          <w:bCs/>
        </w:rPr>
        <w:t>Abogada, Magíster en Derecho Constitucional, Especialista en Derecho Administrativo</w:t>
      </w:r>
    </w:p>
    <w:p w14:paraId="7DDA950A" w14:textId="77777777" w:rsidR="007E355E" w:rsidRPr="00B21A77" w:rsidRDefault="007E355E" w:rsidP="00B21A77">
      <w:pPr>
        <w:jc w:val="right"/>
        <w:rPr>
          <w:rFonts w:ascii="Times New Roman" w:hAnsi="Times New Roman" w:cs="Times New Roman"/>
          <w:bCs/>
        </w:rPr>
      </w:pPr>
      <w:r w:rsidRPr="00B21A77">
        <w:rPr>
          <w:rFonts w:ascii="Times New Roman" w:hAnsi="Times New Roman" w:cs="Times New Roman"/>
          <w:bCs/>
        </w:rPr>
        <w:t>Docente Tutor de la Maestría en Derecho Procesal</w:t>
      </w:r>
    </w:p>
    <w:p w14:paraId="7197A750" w14:textId="77777777" w:rsidR="007E355E" w:rsidRPr="00B21A77" w:rsidRDefault="007E355E" w:rsidP="00B21A77">
      <w:pPr>
        <w:jc w:val="right"/>
        <w:rPr>
          <w:rFonts w:ascii="Times New Roman" w:hAnsi="Times New Roman" w:cs="Times New Roman"/>
          <w:bCs/>
        </w:rPr>
      </w:pPr>
      <w:r w:rsidRPr="00B21A77">
        <w:rPr>
          <w:rFonts w:ascii="Times New Roman" w:hAnsi="Times New Roman" w:cs="Times New Roman"/>
          <w:bCs/>
        </w:rPr>
        <w:t>Quito – Ecuador</w:t>
      </w:r>
    </w:p>
    <w:p w14:paraId="61FA93CF" w14:textId="77777777" w:rsidR="007E355E" w:rsidRPr="00B21A77" w:rsidRDefault="007E355E" w:rsidP="00B21A77">
      <w:pPr>
        <w:jc w:val="right"/>
        <w:rPr>
          <w:rFonts w:ascii="Times New Roman" w:hAnsi="Times New Roman" w:cs="Times New Roman"/>
          <w:bCs/>
        </w:rPr>
      </w:pPr>
      <w:r w:rsidRPr="00B21A77">
        <w:rPr>
          <w:bCs/>
          <w:noProof/>
          <w:lang w:eastAsia="es-EC"/>
        </w:rPr>
        <w:drawing>
          <wp:inline distT="0" distB="0" distL="0" distR="0" wp14:anchorId="1787B1DC" wp14:editId="4BBEF15B">
            <wp:extent cx="203835" cy="196557"/>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446" cy="208718"/>
                    </a:xfrm>
                    <a:prstGeom prst="rect">
                      <a:avLst/>
                    </a:prstGeom>
                    <a:noFill/>
                    <a:ln>
                      <a:noFill/>
                    </a:ln>
                  </pic:spPr>
                </pic:pic>
              </a:graphicData>
            </a:graphic>
          </wp:inline>
        </w:drawing>
      </w:r>
      <w:r w:rsidRPr="00B21A77">
        <w:rPr>
          <w:rFonts w:ascii="Times New Roman" w:hAnsi="Times New Roman" w:cs="Times New Roman"/>
          <w:bCs/>
        </w:rPr>
        <w:t xml:space="preserve">  </w:t>
      </w:r>
      <w:hyperlink r:id="rId16" w:history="1">
        <w:r w:rsidRPr="00B21A77">
          <w:rPr>
            <w:rStyle w:val="Hipervnculo"/>
            <w:rFonts w:ascii="Times New Roman" w:hAnsi="Times New Roman" w:cs="Times New Roman"/>
            <w:bCs/>
          </w:rPr>
          <w:t>wtlandys@ube.edu.ec</w:t>
        </w:r>
      </w:hyperlink>
    </w:p>
    <w:p w14:paraId="65054DD4" w14:textId="77777777" w:rsidR="007E355E" w:rsidRPr="00B21A77" w:rsidRDefault="007E355E" w:rsidP="00B21A77">
      <w:pPr>
        <w:autoSpaceDE w:val="0"/>
        <w:autoSpaceDN w:val="0"/>
        <w:adjustRightInd w:val="0"/>
        <w:jc w:val="right"/>
        <w:rPr>
          <w:rFonts w:ascii="Times New Roman" w:hAnsi="Times New Roman" w:cs="Times New Roman"/>
          <w:bCs/>
          <w:color w:val="000000" w:themeColor="text1"/>
        </w:rPr>
      </w:pPr>
      <w:r w:rsidRPr="00B21A77">
        <w:rPr>
          <w:bCs/>
          <w:noProof/>
          <w:lang w:eastAsia="es-EC"/>
        </w:rPr>
        <w:drawing>
          <wp:inline distT="0" distB="0" distL="0" distR="0" wp14:anchorId="773DFEE1" wp14:editId="2068013D">
            <wp:extent cx="202407" cy="199636"/>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85" cy="211056"/>
                    </a:xfrm>
                    <a:prstGeom prst="rect">
                      <a:avLst/>
                    </a:prstGeom>
                    <a:noFill/>
                    <a:ln>
                      <a:noFill/>
                    </a:ln>
                  </pic:spPr>
                </pic:pic>
              </a:graphicData>
            </a:graphic>
          </wp:inline>
        </w:drawing>
      </w:r>
      <w:r w:rsidRPr="00B21A77">
        <w:rPr>
          <w:rFonts w:ascii="Times New Roman" w:hAnsi="Times New Roman" w:cs="Times New Roman"/>
          <w:bCs/>
          <w:color w:val="000000" w:themeColor="text1"/>
        </w:rPr>
        <w:t xml:space="preserve">   </w:t>
      </w:r>
      <w:hyperlink r:id="rId17" w:history="1">
        <w:r w:rsidRPr="00B21A77">
          <w:rPr>
            <w:rStyle w:val="Hipervnculo"/>
            <w:rFonts w:ascii="Times New Roman" w:hAnsi="Times New Roman" w:cs="Times New Roman"/>
            <w:bCs/>
          </w:rPr>
          <w:t>https://orcid.org/</w:t>
        </w:r>
        <w:r w:rsidRPr="00B21A77">
          <w:rPr>
            <w:bCs/>
          </w:rPr>
          <w:t xml:space="preserve"> </w:t>
        </w:r>
        <w:r w:rsidRPr="00B21A77">
          <w:rPr>
            <w:rStyle w:val="Hipervnculo"/>
            <w:rFonts w:ascii="Times New Roman" w:hAnsi="Times New Roman" w:cs="Times New Roman"/>
            <w:bCs/>
          </w:rPr>
          <w:t>0009-0005-8186-2909</w:t>
        </w:r>
      </w:hyperlink>
    </w:p>
    <w:p w14:paraId="2551A454" w14:textId="77777777" w:rsidR="003E6585" w:rsidRPr="00B21A77" w:rsidRDefault="003E6585" w:rsidP="00B21A77">
      <w:pPr>
        <w:autoSpaceDE w:val="0"/>
        <w:autoSpaceDN w:val="0"/>
        <w:adjustRightInd w:val="0"/>
        <w:jc w:val="right"/>
        <w:rPr>
          <w:bCs/>
        </w:rPr>
      </w:pPr>
    </w:p>
    <w:p w14:paraId="2E2355DA" w14:textId="77777777" w:rsidR="002F322E" w:rsidRPr="00B21A77" w:rsidRDefault="002F322E" w:rsidP="00B21A77">
      <w:pPr>
        <w:autoSpaceDE w:val="0"/>
        <w:autoSpaceDN w:val="0"/>
        <w:adjustRightInd w:val="0"/>
        <w:jc w:val="right"/>
        <w:rPr>
          <w:bCs/>
        </w:rPr>
      </w:pPr>
      <w:r w:rsidRPr="00B21A77">
        <w:rPr>
          <w:bCs/>
        </w:rPr>
        <w:t xml:space="preserve">Coautor: </w:t>
      </w:r>
    </w:p>
    <w:p w14:paraId="7364A083" w14:textId="34D4F3A2" w:rsidR="002F322E" w:rsidRPr="00B21A77" w:rsidRDefault="002F322E" w:rsidP="00B21A77">
      <w:pPr>
        <w:jc w:val="right"/>
        <w:rPr>
          <w:rFonts w:ascii="Times New Roman" w:hAnsi="Times New Roman" w:cs="Times New Roman"/>
          <w:bCs/>
        </w:rPr>
      </w:pPr>
      <w:r w:rsidRPr="00B21A77">
        <w:rPr>
          <w:rFonts w:ascii="Times New Roman" w:hAnsi="Times New Roman" w:cs="Times New Roman"/>
          <w:bCs/>
        </w:rPr>
        <w:t>García</w:t>
      </w:r>
      <w:r w:rsidR="00B21A77" w:rsidRPr="00B21A77">
        <w:rPr>
          <w:rFonts w:ascii="Times New Roman" w:hAnsi="Times New Roman" w:cs="Times New Roman"/>
          <w:bCs/>
        </w:rPr>
        <w:t>-</w:t>
      </w:r>
      <w:r w:rsidRPr="00B21A77">
        <w:rPr>
          <w:rFonts w:ascii="Times New Roman" w:hAnsi="Times New Roman" w:cs="Times New Roman"/>
          <w:bCs/>
        </w:rPr>
        <w:t>Segarra</w:t>
      </w:r>
      <w:r w:rsidR="00B21A77" w:rsidRPr="00B21A77">
        <w:rPr>
          <w:rFonts w:ascii="Times New Roman" w:hAnsi="Times New Roman" w:cs="Times New Roman"/>
          <w:bCs/>
        </w:rPr>
        <w:t xml:space="preserve">, </w:t>
      </w:r>
      <w:r w:rsidR="00B21A77" w:rsidRPr="00B21A77">
        <w:rPr>
          <w:rFonts w:ascii="Times New Roman" w:hAnsi="Times New Roman" w:cs="Times New Roman"/>
          <w:bCs/>
        </w:rPr>
        <w:t>Holger Geovanny</w:t>
      </w:r>
    </w:p>
    <w:p w14:paraId="1DF0C2E6" w14:textId="5F765068" w:rsidR="00B21A77" w:rsidRPr="00B21A77" w:rsidRDefault="00B21A77" w:rsidP="00B21A77">
      <w:pPr>
        <w:jc w:val="right"/>
        <w:rPr>
          <w:bCs/>
        </w:rPr>
      </w:pPr>
      <w:r w:rsidRPr="00B21A77">
        <w:rPr>
          <w:rFonts w:ascii="Times New Roman" w:hAnsi="Times New Roman" w:cs="Times New Roman"/>
          <w:bCs/>
        </w:rPr>
        <w:t>UNIVERSIDAD BOLIVARIANA DEL ECUADOR</w:t>
      </w:r>
      <w:r w:rsidRPr="00B21A77">
        <w:rPr>
          <w:bCs/>
        </w:rPr>
        <w:t xml:space="preserve"> </w:t>
      </w:r>
    </w:p>
    <w:p w14:paraId="7E40779A" w14:textId="77777777" w:rsidR="002F322E" w:rsidRPr="00B21A77" w:rsidRDefault="002F322E" w:rsidP="00B21A77">
      <w:pPr>
        <w:jc w:val="right"/>
        <w:rPr>
          <w:rFonts w:ascii="Times New Roman" w:hAnsi="Times New Roman" w:cs="Times New Roman"/>
          <w:bCs/>
        </w:rPr>
      </w:pPr>
      <w:r w:rsidRPr="00B21A77">
        <w:rPr>
          <w:rFonts w:ascii="Times New Roman" w:hAnsi="Times New Roman" w:cs="Times New Roman"/>
          <w:bCs/>
        </w:rPr>
        <w:t xml:space="preserve"> Abogado</w:t>
      </w:r>
    </w:p>
    <w:p w14:paraId="55D19D34" w14:textId="11AEA790" w:rsidR="002F322E" w:rsidRPr="00B21A77" w:rsidRDefault="002F322E" w:rsidP="00B21A77">
      <w:pPr>
        <w:jc w:val="right"/>
        <w:rPr>
          <w:rFonts w:ascii="Times New Roman" w:hAnsi="Times New Roman" w:cs="Times New Roman"/>
          <w:bCs/>
        </w:rPr>
      </w:pPr>
      <w:r w:rsidRPr="00B21A77">
        <w:rPr>
          <w:rFonts w:ascii="Times New Roman" w:hAnsi="Times New Roman" w:cs="Times New Roman"/>
          <w:bCs/>
        </w:rPr>
        <w:t xml:space="preserve"> Coordinador de la Maestría en Derecho Procesal </w:t>
      </w:r>
    </w:p>
    <w:p w14:paraId="113E63CF" w14:textId="26276B40" w:rsidR="002F322E" w:rsidRPr="00B21A77" w:rsidRDefault="002F322E" w:rsidP="00B21A77">
      <w:pPr>
        <w:jc w:val="right"/>
        <w:rPr>
          <w:bCs/>
        </w:rPr>
      </w:pPr>
      <w:r w:rsidRPr="00B21A77">
        <w:rPr>
          <w:bCs/>
        </w:rPr>
        <w:t xml:space="preserve">Duran – Ecuador </w:t>
      </w:r>
    </w:p>
    <w:p w14:paraId="6CE157BA" w14:textId="78E99779" w:rsidR="002F322E" w:rsidRPr="00B21A77" w:rsidRDefault="002F322E" w:rsidP="00B21A77">
      <w:pPr>
        <w:pStyle w:val="Prrafodelista"/>
        <w:numPr>
          <w:ilvl w:val="0"/>
          <w:numId w:val="8"/>
        </w:numPr>
        <w:spacing w:line="240" w:lineRule="auto"/>
        <w:jc w:val="right"/>
        <w:rPr>
          <w:bCs/>
          <w:noProof/>
          <w:lang w:eastAsia="es-EC"/>
        </w:rPr>
      </w:pPr>
      <w:hyperlink r:id="rId18" w:history="1">
        <w:r w:rsidRPr="00B21A77">
          <w:rPr>
            <w:rStyle w:val="Hipervnculo"/>
            <w:rFonts w:ascii="Times New Roman" w:hAnsi="Times New Roman" w:cs="Times New Roman"/>
            <w:bCs/>
          </w:rPr>
          <w:t>hgarcias@ube.edu.ec</w:t>
        </w:r>
      </w:hyperlink>
      <w:r w:rsidRPr="00B21A77">
        <w:rPr>
          <w:bCs/>
          <w:noProof/>
          <w:lang w:eastAsia="es-EC"/>
        </w:rPr>
        <w:t xml:space="preserve"> </w:t>
      </w:r>
    </w:p>
    <w:p w14:paraId="567257EA" w14:textId="2E500AD8" w:rsidR="002F322E" w:rsidRPr="00B21A77" w:rsidRDefault="002F322E" w:rsidP="00B21A77">
      <w:pPr>
        <w:pStyle w:val="Prrafodelista"/>
        <w:tabs>
          <w:tab w:val="center" w:pos="4419"/>
          <w:tab w:val="right" w:pos="8838"/>
        </w:tabs>
        <w:autoSpaceDE w:val="0"/>
        <w:autoSpaceDN w:val="0"/>
        <w:adjustRightInd w:val="0"/>
        <w:spacing w:line="240" w:lineRule="auto"/>
        <w:jc w:val="right"/>
        <w:rPr>
          <w:rStyle w:val="Hipervnculo"/>
          <w:bCs/>
        </w:rPr>
      </w:pPr>
      <w:r w:rsidRPr="00B21A77">
        <w:rPr>
          <w:bCs/>
          <w:noProof/>
          <w:lang w:eastAsia="es-EC"/>
        </w:rPr>
        <w:t xml:space="preserve">                   </w:t>
      </w:r>
      <w:r w:rsidRPr="00B21A77">
        <w:rPr>
          <w:bCs/>
          <w:noProof/>
          <w:lang w:eastAsia="es-EC"/>
        </w:rPr>
        <w:tab/>
      </w:r>
      <w:r w:rsidRPr="00B21A77">
        <w:rPr>
          <w:bCs/>
        </w:rPr>
        <w:t xml:space="preserve">                                   </w:t>
      </w:r>
      <w:r w:rsidR="00C74864" w:rsidRPr="00B21A77">
        <w:rPr>
          <w:bCs/>
        </w:rPr>
        <w:t xml:space="preserve">      </w:t>
      </w:r>
      <w:r w:rsidR="00B21A77" w:rsidRPr="00B21A77">
        <w:rPr>
          <w:bCs/>
        </w:rPr>
        <w:pict w14:anchorId="2938BD0B">
          <v:shape id="Imagen 11" o:spid="_x0000_i1028" type="#_x0000_t75" style="width:15.75pt;height:15.75pt;visibility:visible;mso-wrap-style:square">
            <v:imagedata r:id="rId13" o:title=""/>
          </v:shape>
        </w:pict>
      </w:r>
      <w:r w:rsidRPr="00B21A77">
        <w:rPr>
          <w:bCs/>
        </w:rPr>
        <w:t xml:space="preserve"> </w:t>
      </w:r>
      <w:r w:rsidRPr="00B21A77">
        <w:rPr>
          <w:rStyle w:val="Hipervnculo"/>
          <w:rFonts w:ascii="Times New Roman" w:hAnsi="Times New Roman" w:cs="Times New Roman"/>
          <w:bCs/>
        </w:rPr>
        <w:t>https://orcid.org/ 0000-0002-8186-7171-62869</w:t>
      </w:r>
    </w:p>
    <w:p w14:paraId="7BA37E0D" w14:textId="77777777" w:rsidR="002F322E" w:rsidRPr="00B21A77" w:rsidRDefault="002F322E" w:rsidP="00B21A77">
      <w:pPr>
        <w:autoSpaceDE w:val="0"/>
        <w:autoSpaceDN w:val="0"/>
        <w:adjustRightInd w:val="0"/>
        <w:jc w:val="right"/>
        <w:rPr>
          <w:rFonts w:ascii="Times New Roman" w:hAnsi="Times New Roman" w:cs="Times New Roman"/>
          <w:bCs/>
        </w:rPr>
      </w:pPr>
    </w:p>
    <w:p w14:paraId="3D058C08" w14:textId="366F97FD" w:rsidR="00B21A77" w:rsidRDefault="00B21A77" w:rsidP="0075479A">
      <w:pPr>
        <w:autoSpaceDE w:val="0"/>
        <w:autoSpaceDN w:val="0"/>
        <w:adjustRightInd w:val="0"/>
        <w:jc w:val="center"/>
        <w:rPr>
          <w:rFonts w:ascii="Times New Roman" w:hAnsi="Times New Roman" w:cs="Times New Roman"/>
          <w:color w:val="000000" w:themeColor="text1"/>
          <w:sz w:val="24"/>
          <w:szCs w:val="24"/>
        </w:rPr>
      </w:pPr>
      <w:bookmarkStart w:id="1" w:name="_Hlk193315290"/>
      <w:bookmarkStart w:id="2" w:name="_Hlk189425024"/>
      <w:r w:rsidRPr="009D1EBA">
        <w:rPr>
          <w:rFonts w:ascii="Times New Roman" w:hAnsi="Times New Roman" w:cs="Times New Roman"/>
          <w:sz w:val="24"/>
          <w:szCs w:val="24"/>
        </w:rPr>
        <w:t xml:space="preserve">Fechas de recepción: </w:t>
      </w:r>
      <w:r>
        <w:rPr>
          <w:rFonts w:ascii="Times New Roman" w:hAnsi="Times New Roman" w:cs="Times New Roman"/>
          <w:sz w:val="24"/>
          <w:szCs w:val="24"/>
        </w:rPr>
        <w:t>1</w:t>
      </w:r>
      <w:r>
        <w:rPr>
          <w:rFonts w:ascii="Times New Roman" w:hAnsi="Times New Roman" w:cs="Times New Roman"/>
          <w:sz w:val="24"/>
          <w:szCs w:val="24"/>
        </w:rPr>
        <w:t>3</w:t>
      </w:r>
      <w:r>
        <w:rPr>
          <w:rFonts w:ascii="Times New Roman" w:hAnsi="Times New Roman" w:cs="Times New Roman"/>
          <w:sz w:val="24"/>
          <w:szCs w:val="24"/>
        </w:rPr>
        <w:t>-MAY</w:t>
      </w:r>
      <w:r w:rsidRPr="009D1EBA">
        <w:rPr>
          <w:rFonts w:ascii="Times New Roman" w:hAnsi="Times New Roman" w:cs="Times New Roman"/>
          <w:sz w:val="24"/>
          <w:szCs w:val="24"/>
        </w:rPr>
        <w:t>-202</w:t>
      </w:r>
      <w:r>
        <w:rPr>
          <w:rFonts w:ascii="Times New Roman" w:hAnsi="Times New Roman" w:cs="Times New Roman"/>
          <w:sz w:val="24"/>
          <w:szCs w:val="24"/>
        </w:rPr>
        <w:t>5</w:t>
      </w:r>
      <w:r w:rsidRPr="009D1EBA">
        <w:rPr>
          <w:rFonts w:ascii="Times New Roman" w:hAnsi="Times New Roman" w:cs="Times New Roman"/>
          <w:sz w:val="24"/>
          <w:szCs w:val="24"/>
        </w:rPr>
        <w:t xml:space="preserve"> aceptación: </w:t>
      </w:r>
      <w:r>
        <w:rPr>
          <w:rFonts w:ascii="Times New Roman" w:hAnsi="Times New Roman" w:cs="Times New Roman"/>
          <w:sz w:val="24"/>
          <w:szCs w:val="24"/>
        </w:rPr>
        <w:t>1</w:t>
      </w:r>
      <w:r>
        <w:rPr>
          <w:rFonts w:ascii="Times New Roman" w:hAnsi="Times New Roman" w:cs="Times New Roman"/>
          <w:sz w:val="24"/>
          <w:szCs w:val="24"/>
        </w:rPr>
        <w:t>3</w:t>
      </w:r>
      <w:r w:rsidRPr="009D1EBA">
        <w:rPr>
          <w:rFonts w:ascii="Times New Roman" w:hAnsi="Times New Roman" w:cs="Times New Roman"/>
          <w:sz w:val="24"/>
          <w:szCs w:val="24"/>
        </w:rPr>
        <w:t>-</w:t>
      </w:r>
      <w:r>
        <w:rPr>
          <w:rFonts w:ascii="Times New Roman" w:hAnsi="Times New Roman" w:cs="Times New Roman"/>
          <w:sz w:val="24"/>
          <w:szCs w:val="24"/>
        </w:rPr>
        <w:t>JUN</w:t>
      </w:r>
      <w:r w:rsidRPr="009D1EBA">
        <w:rPr>
          <w:rFonts w:ascii="Times New Roman" w:hAnsi="Times New Roman" w:cs="Times New Roman"/>
          <w:sz w:val="24"/>
          <w:szCs w:val="24"/>
        </w:rPr>
        <w:t>-202</w:t>
      </w:r>
      <w:r>
        <w:rPr>
          <w:rFonts w:ascii="Times New Roman" w:hAnsi="Times New Roman" w:cs="Times New Roman"/>
          <w:sz w:val="24"/>
          <w:szCs w:val="24"/>
        </w:rPr>
        <w:t>5</w:t>
      </w:r>
      <w:r w:rsidRPr="009D1EBA">
        <w:rPr>
          <w:rFonts w:ascii="Times New Roman" w:hAnsi="Times New Roman" w:cs="Times New Roman"/>
          <w:sz w:val="24"/>
          <w:szCs w:val="24"/>
        </w:rPr>
        <w:t xml:space="preserve"> publicación: </w:t>
      </w:r>
      <w:r>
        <w:rPr>
          <w:rFonts w:ascii="Times New Roman" w:hAnsi="Times New Roman" w:cs="Times New Roman"/>
          <w:sz w:val="24"/>
          <w:szCs w:val="24"/>
        </w:rPr>
        <w:t>30</w:t>
      </w:r>
      <w:r w:rsidRPr="009D1EBA">
        <w:rPr>
          <w:rFonts w:ascii="Times New Roman" w:hAnsi="Times New Roman" w:cs="Times New Roman"/>
          <w:sz w:val="24"/>
          <w:szCs w:val="24"/>
        </w:rPr>
        <w:t>-</w:t>
      </w:r>
      <w:r>
        <w:rPr>
          <w:rFonts w:ascii="Times New Roman" w:hAnsi="Times New Roman" w:cs="Times New Roman"/>
          <w:sz w:val="24"/>
          <w:szCs w:val="24"/>
        </w:rPr>
        <w:t>JUN-</w:t>
      </w:r>
      <w:r w:rsidRPr="009D1EBA">
        <w:rPr>
          <w:rFonts w:ascii="Times New Roman" w:hAnsi="Times New Roman" w:cs="Times New Roman"/>
          <w:sz w:val="24"/>
          <w:szCs w:val="24"/>
        </w:rPr>
        <w:t>202</w:t>
      </w:r>
      <w:r>
        <w:rPr>
          <w:rFonts w:ascii="Times New Roman" w:hAnsi="Times New Roman" w:cs="Times New Roman"/>
          <w:sz w:val="24"/>
          <w:szCs w:val="24"/>
        </w:rPr>
        <w:t>5</w:t>
      </w:r>
      <w:bookmarkEnd w:id="1"/>
      <w:bookmarkEnd w:id="2"/>
    </w:p>
    <w:p w14:paraId="3629D09D" w14:textId="71329831" w:rsidR="0075479A" w:rsidRPr="007830E1" w:rsidRDefault="0075479A" w:rsidP="0075479A">
      <w:pPr>
        <w:autoSpaceDE w:val="0"/>
        <w:autoSpaceDN w:val="0"/>
        <w:adjustRightInd w:val="0"/>
        <w:jc w:val="center"/>
        <w:rPr>
          <w:rFonts w:ascii="Times New Roman" w:hAnsi="Times New Roman" w:cs="Times New Roman"/>
          <w:color w:val="000000" w:themeColor="text1"/>
          <w:sz w:val="24"/>
          <w:szCs w:val="24"/>
        </w:rPr>
      </w:pPr>
      <w:r w:rsidRPr="007830E1">
        <w:rPr>
          <w:rFonts w:ascii="Times New Roman" w:hAnsi="Times New Roman" w:cs="Times New Roman"/>
          <w:noProof/>
          <w:sz w:val="24"/>
          <w:szCs w:val="24"/>
          <w:lang w:eastAsia="es-EC"/>
        </w:rPr>
        <w:drawing>
          <wp:inline distT="0" distB="0" distL="0" distR="0" wp14:anchorId="7373EE42" wp14:editId="41885AC7">
            <wp:extent cx="318691" cy="314325"/>
            <wp:effectExtent l="0" t="0" r="571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484" cy="322011"/>
                    </a:xfrm>
                    <a:prstGeom prst="rect">
                      <a:avLst/>
                    </a:prstGeom>
                    <a:noFill/>
                    <a:ln>
                      <a:noFill/>
                    </a:ln>
                  </pic:spPr>
                </pic:pic>
              </a:graphicData>
            </a:graphic>
          </wp:inline>
        </w:drawing>
      </w:r>
      <w:r w:rsidRPr="007830E1">
        <w:rPr>
          <w:rFonts w:ascii="Times New Roman" w:hAnsi="Times New Roman" w:cs="Times New Roman"/>
          <w:color w:val="000000" w:themeColor="text1"/>
          <w:sz w:val="24"/>
          <w:szCs w:val="24"/>
        </w:rPr>
        <w:t xml:space="preserve"> </w:t>
      </w:r>
      <w:hyperlink r:id="rId20" w:history="1">
        <w:r w:rsidRPr="00717E4B">
          <w:rPr>
            <w:rStyle w:val="Hipervnculo"/>
            <w:rFonts w:ascii="Times New Roman" w:hAnsi="Times New Roman" w:cs="Times New Roman"/>
            <w:sz w:val="24"/>
            <w:szCs w:val="24"/>
          </w:rPr>
          <w:t>https://orcid.org/0000-0002-8695-5005</w:t>
        </w:r>
      </w:hyperlink>
    </w:p>
    <w:p w14:paraId="0B592888" w14:textId="6D6882DF" w:rsidR="00D325F6" w:rsidRPr="00C74864" w:rsidRDefault="0075479A" w:rsidP="00C74864">
      <w:pPr>
        <w:autoSpaceDE w:val="0"/>
        <w:autoSpaceDN w:val="0"/>
        <w:adjustRightInd w:val="0"/>
        <w:jc w:val="center"/>
        <w:rPr>
          <w:rFonts w:ascii="Times New Roman" w:hAnsi="Times New Roman" w:cs="Times New Roman"/>
          <w:sz w:val="24"/>
          <w:szCs w:val="24"/>
        </w:rPr>
      </w:pPr>
      <w:hyperlink r:id="rId21" w:history="1">
        <w:r w:rsidRPr="001F04CA">
          <w:rPr>
            <w:rStyle w:val="Hipervnculo"/>
            <w:rFonts w:ascii="Times New Roman" w:hAnsi="Times New Roman" w:cs="Times New Roman"/>
            <w:sz w:val="24"/>
            <w:szCs w:val="24"/>
          </w:rPr>
          <w:t>http://mqrinvestigar.com/</w:t>
        </w:r>
      </w:hyperlink>
      <w:r w:rsidR="00ED0E7E" w:rsidRPr="00455DB0">
        <w:rPr>
          <w:rFonts w:ascii="Times New Roman" w:hAnsi="Times New Roman" w:cs="Times New Roman"/>
          <w:sz w:val="24"/>
          <w:szCs w:val="24"/>
        </w:rPr>
        <w:t xml:space="preserve">                            </w:t>
      </w:r>
    </w:p>
    <w:p w14:paraId="1CCADFFE" w14:textId="76749397" w:rsidR="00B054CD" w:rsidRDefault="003E14C3" w:rsidP="00725CA3">
      <w:pPr>
        <w:jc w:val="center"/>
        <w:rPr>
          <w:rFonts w:ascii="Times New Roman" w:eastAsia="Times New Roman" w:hAnsi="Times New Roman" w:cs="Times New Roman"/>
          <w:b/>
          <w:bCs/>
          <w:sz w:val="28"/>
          <w:szCs w:val="28"/>
          <w:lang w:eastAsia="es-EC"/>
        </w:rPr>
      </w:pPr>
      <w:r w:rsidRPr="003E14C3">
        <w:rPr>
          <w:rFonts w:ascii="Times New Roman" w:eastAsia="Times New Roman" w:hAnsi="Times New Roman" w:cs="Times New Roman"/>
          <w:b/>
          <w:bCs/>
          <w:sz w:val="28"/>
          <w:szCs w:val="28"/>
          <w:lang w:eastAsia="es-EC"/>
        </w:rPr>
        <w:lastRenderedPageBreak/>
        <w:t>Resumen</w:t>
      </w:r>
    </w:p>
    <w:p w14:paraId="64F3BEEE" w14:textId="77777777" w:rsidR="00CE2A63" w:rsidRDefault="00CE2A63" w:rsidP="00725CA3">
      <w:pPr>
        <w:jc w:val="center"/>
        <w:rPr>
          <w:rFonts w:ascii="Times New Roman" w:eastAsia="Times New Roman" w:hAnsi="Times New Roman" w:cs="Times New Roman"/>
          <w:b/>
          <w:bCs/>
          <w:sz w:val="28"/>
          <w:szCs w:val="28"/>
          <w:lang w:eastAsia="es-EC"/>
        </w:rPr>
      </w:pPr>
    </w:p>
    <w:p w14:paraId="1FCDACD2" w14:textId="5464B0CA" w:rsidR="00CE2A63" w:rsidRDefault="00CE2A63" w:rsidP="00B21A77">
      <w:pPr>
        <w:spacing w:line="360" w:lineRule="auto"/>
        <w:jc w:val="both"/>
        <w:rPr>
          <w:rFonts w:ascii="Times New Roman" w:hAnsi="Times New Roman" w:cs="Times New Roman"/>
          <w:sz w:val="24"/>
          <w:szCs w:val="24"/>
        </w:rPr>
      </w:pPr>
      <w:r w:rsidRPr="00814E54">
        <w:rPr>
          <w:rFonts w:ascii="Times New Roman" w:hAnsi="Times New Roman" w:cs="Times New Roman"/>
          <w:sz w:val="24"/>
          <w:szCs w:val="24"/>
        </w:rPr>
        <w:t>La Constitución de la República del Ecuador (2008), en su artículo 76, número 7, letra m), establece el derecho de recurrir, garantizando a los ciudadanos la posibilidad de impugnar las decisiones judiciales mediante los recursos correspondientes. Sin embargo, este derecho, se vio limitado por la Resolución No. 10-2015, emitida por la Corte Nacional de Justicia</w:t>
      </w:r>
      <w:r w:rsidR="00A71301">
        <w:rPr>
          <w:rFonts w:ascii="Times New Roman" w:hAnsi="Times New Roman" w:cs="Times New Roman"/>
          <w:sz w:val="24"/>
          <w:szCs w:val="24"/>
        </w:rPr>
        <w:t>,</w:t>
      </w:r>
      <w:r w:rsidRPr="00814E54">
        <w:rPr>
          <w:rFonts w:ascii="Times New Roman" w:hAnsi="Times New Roman" w:cs="Times New Roman"/>
          <w:sz w:val="24"/>
          <w:szCs w:val="24"/>
        </w:rPr>
        <w:t xml:space="preserve"> generando así un obstáculo para el ejercicio del derecho a recurrir, en contradicción con los </w:t>
      </w:r>
      <w:r w:rsidR="0078227A">
        <w:rPr>
          <w:rFonts w:ascii="Times New Roman" w:hAnsi="Times New Roman" w:cs="Times New Roman"/>
          <w:sz w:val="24"/>
          <w:szCs w:val="24"/>
        </w:rPr>
        <w:t>derechos</w:t>
      </w:r>
      <w:r w:rsidRPr="00814E54">
        <w:rPr>
          <w:rFonts w:ascii="Times New Roman" w:hAnsi="Times New Roman" w:cs="Times New Roman"/>
          <w:sz w:val="24"/>
          <w:szCs w:val="24"/>
        </w:rPr>
        <w:t xml:space="preserve"> constitucionales como el </w:t>
      </w:r>
      <w:r w:rsidR="00A71301" w:rsidRPr="00A71301">
        <w:rPr>
          <w:rFonts w:ascii="Times New Roman" w:hAnsi="Times New Roman" w:cs="Times New Roman"/>
          <w:sz w:val="24"/>
          <w:szCs w:val="24"/>
        </w:rPr>
        <w:t>debido proceso y el derecho a la defensa</w:t>
      </w:r>
      <w:r w:rsidR="0078227A">
        <w:rPr>
          <w:rFonts w:ascii="Times New Roman" w:hAnsi="Times New Roman" w:cs="Times New Roman"/>
          <w:sz w:val="24"/>
          <w:szCs w:val="24"/>
        </w:rPr>
        <w:t xml:space="preserve"> </w:t>
      </w:r>
      <w:r w:rsidR="0078227A" w:rsidRPr="00A71301">
        <w:rPr>
          <w:rFonts w:ascii="Times New Roman" w:hAnsi="Times New Roman" w:cs="Times New Roman"/>
          <w:sz w:val="24"/>
          <w:szCs w:val="24"/>
        </w:rPr>
        <w:t>en la garantía de recurrir</w:t>
      </w:r>
      <w:r w:rsidR="00911953">
        <w:rPr>
          <w:rFonts w:ascii="Times New Roman" w:hAnsi="Times New Roman" w:cs="Times New Roman"/>
          <w:sz w:val="24"/>
          <w:szCs w:val="24"/>
        </w:rPr>
        <w:t>.</w:t>
      </w:r>
    </w:p>
    <w:p w14:paraId="2FE9FB07" w14:textId="5994E881" w:rsidR="00CE2A63" w:rsidRPr="00814E54" w:rsidRDefault="00CE2A63" w:rsidP="00B21A77">
      <w:pPr>
        <w:spacing w:line="360" w:lineRule="auto"/>
        <w:jc w:val="both"/>
        <w:rPr>
          <w:rFonts w:ascii="Times New Roman" w:hAnsi="Times New Roman" w:cs="Times New Roman"/>
          <w:sz w:val="24"/>
          <w:szCs w:val="24"/>
        </w:rPr>
      </w:pPr>
      <w:r w:rsidRPr="00814E54">
        <w:rPr>
          <w:rFonts w:ascii="Times New Roman" w:hAnsi="Times New Roman" w:cs="Times New Roman"/>
          <w:sz w:val="24"/>
          <w:szCs w:val="24"/>
        </w:rPr>
        <w:t>La Corte Constitucional, mediante sentencia No. 8-19-IN/2021, dictada el 8 de diciembre de 2021</w:t>
      </w:r>
      <w:r w:rsidR="0078227A">
        <w:rPr>
          <w:rFonts w:ascii="Times New Roman" w:hAnsi="Times New Roman" w:cs="Times New Roman"/>
          <w:sz w:val="24"/>
          <w:szCs w:val="24"/>
        </w:rPr>
        <w:t xml:space="preserve"> </w:t>
      </w:r>
      <w:r w:rsidRPr="00814E54">
        <w:rPr>
          <w:rFonts w:ascii="Times New Roman" w:hAnsi="Times New Roman" w:cs="Times New Roman"/>
          <w:sz w:val="24"/>
          <w:szCs w:val="24"/>
        </w:rPr>
        <w:t xml:space="preserve">(p. 38), declaró la inconstitucionalidad </w:t>
      </w:r>
      <w:r w:rsidRPr="00814E54">
        <w:rPr>
          <w:rFonts w:ascii="Times New Roman" w:hAnsi="Times New Roman" w:cs="Times New Roman"/>
          <w:iCs/>
          <w:sz w:val="24"/>
          <w:szCs w:val="24"/>
        </w:rPr>
        <w:t>por la forma</w:t>
      </w:r>
      <w:r w:rsidRPr="00814E54">
        <w:rPr>
          <w:rFonts w:ascii="Times New Roman" w:hAnsi="Times New Roman" w:cs="Times New Roman"/>
          <w:sz w:val="24"/>
          <w:szCs w:val="24"/>
        </w:rPr>
        <w:t xml:space="preserve"> de la Resolución No. 10-2015, fundamentando su decisión en el hecho de que la Corte Nacional de Justicia emitió una resolución</w:t>
      </w:r>
      <w:r w:rsidR="0078227A">
        <w:rPr>
          <w:rFonts w:ascii="Times New Roman" w:hAnsi="Times New Roman" w:cs="Times New Roman"/>
          <w:sz w:val="24"/>
          <w:szCs w:val="24"/>
        </w:rPr>
        <w:t>,</w:t>
      </w:r>
      <w:r w:rsidRPr="00814E54">
        <w:rPr>
          <w:rFonts w:ascii="Times New Roman" w:hAnsi="Times New Roman" w:cs="Times New Roman"/>
          <w:sz w:val="24"/>
          <w:szCs w:val="24"/>
        </w:rPr>
        <w:t xml:space="preserve"> que se configuró como jurisprudencia vinculante</w:t>
      </w:r>
      <w:r w:rsidR="0078227A">
        <w:rPr>
          <w:rFonts w:ascii="Times New Roman" w:hAnsi="Times New Roman" w:cs="Times New Roman"/>
          <w:sz w:val="24"/>
          <w:szCs w:val="24"/>
        </w:rPr>
        <w:t>,</w:t>
      </w:r>
      <w:r w:rsidRPr="00814E54">
        <w:rPr>
          <w:rFonts w:ascii="Times New Roman" w:hAnsi="Times New Roman" w:cs="Times New Roman"/>
          <w:sz w:val="24"/>
          <w:szCs w:val="24"/>
        </w:rPr>
        <w:t xml:space="preserve"> sin cumplir con el requisito previsto en el primer inciso del artículo 185 de la Constitución. Según este precepto constitucional, para que una resolución de la Corte Nacional de Justicia adquiera carácter de jurisprudencia obligatoria, es necesario que las salas especializadas de dicha Corte hayan reiterado al menos en tres ocasiones la misma posición sobre un punto de derecho, ya sea en sentencias o en </w:t>
      </w:r>
      <w:r w:rsidR="0078227A">
        <w:rPr>
          <w:rFonts w:ascii="Times New Roman" w:hAnsi="Times New Roman" w:cs="Times New Roman"/>
          <w:sz w:val="24"/>
          <w:szCs w:val="24"/>
        </w:rPr>
        <w:t>autos</w:t>
      </w:r>
      <w:r w:rsidRPr="00814E54">
        <w:rPr>
          <w:rFonts w:ascii="Times New Roman" w:hAnsi="Times New Roman" w:cs="Times New Roman"/>
          <w:sz w:val="24"/>
          <w:szCs w:val="24"/>
        </w:rPr>
        <w:t xml:space="preserve"> con fuerza de sentencia, es decir, aquellas que ponen fin de manera definitiva a un proceso. La Corte Constitucional determinó que, al no haberse cumplido con este requisito de reiteración, la Resolución No. 10-2015 carecía de base jurídica para ser considerada como jurisprudencia vinculante.</w:t>
      </w:r>
    </w:p>
    <w:p w14:paraId="3E5009FE" w14:textId="77777777" w:rsidR="00CE2A63" w:rsidRPr="00814E54" w:rsidRDefault="00CE2A63" w:rsidP="00B21A77">
      <w:pPr>
        <w:spacing w:line="360" w:lineRule="auto"/>
        <w:jc w:val="both"/>
        <w:rPr>
          <w:rFonts w:ascii="Times New Roman" w:hAnsi="Times New Roman" w:cs="Times New Roman"/>
          <w:sz w:val="24"/>
          <w:szCs w:val="24"/>
        </w:rPr>
      </w:pPr>
    </w:p>
    <w:p w14:paraId="1F9C35EF" w14:textId="3CE46244" w:rsidR="00CE2A63" w:rsidRPr="00814E54" w:rsidRDefault="00CE2A63" w:rsidP="00B21A77">
      <w:pPr>
        <w:spacing w:line="360" w:lineRule="auto"/>
        <w:jc w:val="both"/>
        <w:rPr>
          <w:rFonts w:ascii="Times New Roman" w:hAnsi="Times New Roman" w:cs="Times New Roman"/>
          <w:sz w:val="24"/>
          <w:szCs w:val="24"/>
        </w:rPr>
      </w:pPr>
      <w:r w:rsidRPr="00814E54">
        <w:rPr>
          <w:rFonts w:ascii="Times New Roman" w:hAnsi="Times New Roman" w:cs="Times New Roman"/>
          <w:b/>
          <w:sz w:val="24"/>
          <w:szCs w:val="24"/>
        </w:rPr>
        <w:t>Palabras clave:</w:t>
      </w:r>
      <w:r w:rsidRPr="00814E54">
        <w:rPr>
          <w:rFonts w:ascii="Times New Roman" w:hAnsi="Times New Roman" w:cs="Times New Roman"/>
          <w:sz w:val="24"/>
          <w:szCs w:val="24"/>
        </w:rPr>
        <w:t xml:space="preserve"> admisibilidad</w:t>
      </w:r>
      <w:r w:rsidR="00D11512" w:rsidRPr="00814E54">
        <w:rPr>
          <w:rFonts w:ascii="Times New Roman" w:hAnsi="Times New Roman" w:cs="Times New Roman"/>
          <w:sz w:val="24"/>
          <w:szCs w:val="24"/>
        </w:rPr>
        <w:t xml:space="preserve">; derecho a la defensa; recurso de </w:t>
      </w:r>
      <w:proofErr w:type="gramStart"/>
      <w:r w:rsidR="00D11512" w:rsidRPr="00814E54">
        <w:rPr>
          <w:rFonts w:ascii="Times New Roman" w:hAnsi="Times New Roman" w:cs="Times New Roman"/>
          <w:sz w:val="24"/>
          <w:szCs w:val="24"/>
        </w:rPr>
        <w:t xml:space="preserve">casación; </w:t>
      </w:r>
      <w:r w:rsidRPr="00814E54">
        <w:rPr>
          <w:rFonts w:ascii="Times New Roman" w:hAnsi="Times New Roman" w:cs="Times New Roman"/>
          <w:sz w:val="24"/>
          <w:szCs w:val="24"/>
        </w:rPr>
        <w:t xml:space="preserve"> inconstitucional</w:t>
      </w:r>
      <w:proofErr w:type="gramEnd"/>
    </w:p>
    <w:p w14:paraId="4A9E7855" w14:textId="77777777" w:rsidR="00F57B0A" w:rsidRPr="00601E6A" w:rsidRDefault="00F57B0A" w:rsidP="00B21A77">
      <w:pPr>
        <w:spacing w:line="360" w:lineRule="auto"/>
        <w:jc w:val="center"/>
        <w:rPr>
          <w:rFonts w:ascii="Times New Roman" w:eastAsia="Times New Roman" w:hAnsi="Times New Roman" w:cs="Times New Roman"/>
          <w:b/>
          <w:bCs/>
          <w:sz w:val="28"/>
          <w:szCs w:val="28"/>
          <w:lang w:val="es-ES" w:eastAsia="es-EC"/>
        </w:rPr>
      </w:pPr>
    </w:p>
    <w:p w14:paraId="67E67752"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34DEEEC7"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77A01DA0"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3B3F6E31"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5BB630E5"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521390CA" w14:textId="77777777" w:rsidR="00B21A77" w:rsidRDefault="00B21A77" w:rsidP="00B21A77">
      <w:pPr>
        <w:spacing w:line="360" w:lineRule="auto"/>
        <w:jc w:val="center"/>
        <w:rPr>
          <w:rFonts w:ascii="Times New Roman" w:eastAsia="Times New Roman" w:hAnsi="Times New Roman" w:cs="Times New Roman"/>
          <w:b/>
          <w:bCs/>
          <w:sz w:val="28"/>
          <w:szCs w:val="28"/>
          <w:lang w:val="en-US" w:eastAsia="es-EC"/>
        </w:rPr>
      </w:pPr>
    </w:p>
    <w:p w14:paraId="0630ECF0" w14:textId="777EAF2F" w:rsidR="008577AF" w:rsidRPr="00814E54" w:rsidRDefault="003E14C3" w:rsidP="00B21A77">
      <w:pPr>
        <w:spacing w:line="360" w:lineRule="auto"/>
        <w:jc w:val="center"/>
        <w:rPr>
          <w:rFonts w:ascii="Times New Roman" w:eastAsia="Times New Roman" w:hAnsi="Times New Roman" w:cs="Times New Roman"/>
          <w:b/>
          <w:bCs/>
          <w:sz w:val="28"/>
          <w:szCs w:val="28"/>
          <w:lang w:val="en-US" w:eastAsia="es-EC"/>
        </w:rPr>
      </w:pPr>
      <w:r w:rsidRPr="00814E54">
        <w:rPr>
          <w:rFonts w:ascii="Times New Roman" w:eastAsia="Times New Roman" w:hAnsi="Times New Roman" w:cs="Times New Roman"/>
          <w:b/>
          <w:bCs/>
          <w:sz w:val="28"/>
          <w:szCs w:val="28"/>
          <w:lang w:val="en-US" w:eastAsia="es-EC"/>
        </w:rPr>
        <w:t>Abstract</w:t>
      </w:r>
    </w:p>
    <w:p w14:paraId="07FCBD03" w14:textId="77777777" w:rsidR="00531368" w:rsidRPr="00814E54" w:rsidRDefault="00531368" w:rsidP="00B21A77">
      <w:pPr>
        <w:pStyle w:val="TableParagraph"/>
        <w:spacing w:before="0" w:line="360" w:lineRule="auto"/>
        <w:jc w:val="right"/>
        <w:rPr>
          <w:rFonts w:ascii="Times New Roman" w:hAnsi="Times New Roman" w:cs="Times New Roman"/>
          <w:sz w:val="24"/>
          <w:szCs w:val="24"/>
          <w:lang w:val="en-US"/>
        </w:rPr>
      </w:pPr>
    </w:p>
    <w:p w14:paraId="5E64F74A" w14:textId="719DD0CB" w:rsidR="00F57B0A" w:rsidRPr="00F57B0A" w:rsidRDefault="00F57B0A" w:rsidP="00B21A77">
      <w:pPr>
        <w:spacing w:line="360" w:lineRule="auto"/>
        <w:jc w:val="both"/>
        <w:rPr>
          <w:rFonts w:ascii="Times New Roman" w:hAnsi="Times New Roman" w:cs="Times New Roman"/>
          <w:bCs/>
          <w:sz w:val="24"/>
          <w:szCs w:val="24"/>
          <w:lang w:val="en-US"/>
        </w:rPr>
      </w:pPr>
      <w:r w:rsidRPr="00F57B0A">
        <w:rPr>
          <w:rFonts w:ascii="Times New Roman" w:hAnsi="Times New Roman" w:cs="Times New Roman"/>
          <w:bCs/>
          <w:sz w:val="24"/>
          <w:szCs w:val="24"/>
          <w:lang w:val="en-US"/>
        </w:rPr>
        <w:t>The Constitution of the Republic of Ecuador (2008), in its Article 76, paragraph 7, letter m), establishes the right of appeal, guaranteeing citizens the possibility of challenging judicial decisions through the corresponding remedies. However, this right was limited by Resolution</w:t>
      </w:r>
      <w:r w:rsidR="006F492C">
        <w:rPr>
          <w:rFonts w:ascii="Times New Roman" w:hAnsi="Times New Roman" w:cs="Times New Roman"/>
          <w:bCs/>
          <w:sz w:val="24"/>
          <w:szCs w:val="24"/>
          <w:lang w:val="en-US"/>
        </w:rPr>
        <w:t xml:space="preserve"> </w:t>
      </w:r>
      <w:r w:rsidRPr="00F57B0A">
        <w:rPr>
          <w:rFonts w:ascii="Times New Roman" w:hAnsi="Times New Roman" w:cs="Times New Roman"/>
          <w:bCs/>
          <w:sz w:val="24"/>
          <w:szCs w:val="24"/>
          <w:lang w:val="en-US"/>
        </w:rPr>
        <w:t xml:space="preserve"> No. 10-2015, issued by the National Court of Justice, thus creating an obstacle to the exercise of the right of appeal, in contradiction with constitutional principles such as the right to due process in the guarantee of appeal and, consequently, the right to defense.</w:t>
      </w:r>
    </w:p>
    <w:p w14:paraId="4B2BDB39" w14:textId="75011D00" w:rsidR="00F57B0A" w:rsidRDefault="00F57B0A" w:rsidP="00B21A77">
      <w:pPr>
        <w:spacing w:line="360" w:lineRule="auto"/>
        <w:jc w:val="both"/>
        <w:rPr>
          <w:rFonts w:ascii="Times New Roman" w:hAnsi="Times New Roman" w:cs="Times New Roman"/>
          <w:bCs/>
          <w:sz w:val="24"/>
          <w:szCs w:val="24"/>
          <w:lang w:val="en-US"/>
        </w:rPr>
      </w:pPr>
      <w:r w:rsidRPr="00F57B0A">
        <w:rPr>
          <w:rFonts w:ascii="Times New Roman" w:hAnsi="Times New Roman" w:cs="Times New Roman"/>
          <w:bCs/>
          <w:sz w:val="24"/>
          <w:szCs w:val="24"/>
          <w:lang w:val="en-US"/>
        </w:rPr>
        <w:t>The Constitutional Court, through Judgment No. 8-19-IN/2021, issued on December 8, 2021 (p. 38), declared the unconstitutionality of Resolution No. 10-2015 due to its form, basing its decision on the fact that the National Court of Justice issued a resolution that constituted binding jurisprudence without complying with the requirement set forth in the first paragraph of Article 185 of the Constitution. According to this constitutional precept, for a resolution of the National Court of Justice to acquire the character of binding jurisprudence, it is necessary that the specialized chambers of said Court have reiterated the same position on a point of law at least three times, either in judgments or in orders with the force of judgment, that is, those that definitively end a process. The Constitutional Court determined that, since this reiteration requirement had not been met, Resolution No. 10-2015 lacked the legal basis to be considered binding jurisprudence.</w:t>
      </w:r>
    </w:p>
    <w:p w14:paraId="68C91FF2" w14:textId="06DB6C72" w:rsidR="00F57B0A" w:rsidRDefault="00F57B0A" w:rsidP="00B21A77">
      <w:pPr>
        <w:spacing w:line="360" w:lineRule="auto"/>
        <w:jc w:val="both"/>
        <w:rPr>
          <w:rFonts w:ascii="Times New Roman" w:hAnsi="Times New Roman" w:cs="Times New Roman"/>
          <w:bCs/>
          <w:sz w:val="24"/>
          <w:szCs w:val="24"/>
          <w:lang w:val="en-US"/>
        </w:rPr>
      </w:pPr>
    </w:p>
    <w:p w14:paraId="343E81C5" w14:textId="18F9CECA" w:rsidR="007A549C" w:rsidRPr="00814E54" w:rsidRDefault="007A549C" w:rsidP="00B21A77">
      <w:pPr>
        <w:spacing w:line="360" w:lineRule="auto"/>
        <w:jc w:val="both"/>
        <w:rPr>
          <w:rFonts w:ascii="Times New Roman" w:hAnsi="Times New Roman" w:cs="Times New Roman"/>
          <w:bCs/>
          <w:sz w:val="24"/>
          <w:szCs w:val="24"/>
          <w:lang w:val="en-US"/>
        </w:rPr>
      </w:pPr>
      <w:r w:rsidRPr="00B21A77">
        <w:rPr>
          <w:rFonts w:ascii="Times New Roman" w:hAnsi="Times New Roman" w:cs="Times New Roman"/>
          <w:b/>
          <w:sz w:val="24"/>
          <w:szCs w:val="24"/>
          <w:lang w:val="en-US"/>
        </w:rPr>
        <w:t>Keywords:</w:t>
      </w:r>
      <w:r w:rsidRPr="00814E54">
        <w:rPr>
          <w:rFonts w:ascii="Times New Roman" w:hAnsi="Times New Roman" w:cs="Times New Roman"/>
          <w:bCs/>
          <w:sz w:val="24"/>
          <w:szCs w:val="24"/>
          <w:lang w:val="en-US"/>
        </w:rPr>
        <w:t xml:space="preserve"> admissibility</w:t>
      </w:r>
      <w:r w:rsidR="00B21A77">
        <w:rPr>
          <w:rFonts w:ascii="Times New Roman" w:hAnsi="Times New Roman" w:cs="Times New Roman"/>
          <w:bCs/>
          <w:sz w:val="24"/>
          <w:szCs w:val="24"/>
          <w:lang w:val="en-US"/>
        </w:rPr>
        <w:t>;</w:t>
      </w:r>
      <w:r w:rsidRPr="00814E54">
        <w:rPr>
          <w:rFonts w:ascii="Times New Roman" w:hAnsi="Times New Roman" w:cs="Times New Roman"/>
          <w:bCs/>
          <w:sz w:val="24"/>
          <w:szCs w:val="24"/>
          <w:lang w:val="en-US"/>
        </w:rPr>
        <w:t xml:space="preserve"> right to defense</w:t>
      </w:r>
      <w:r w:rsidR="00B21A77">
        <w:rPr>
          <w:rFonts w:ascii="Times New Roman" w:hAnsi="Times New Roman" w:cs="Times New Roman"/>
          <w:bCs/>
          <w:sz w:val="24"/>
          <w:szCs w:val="24"/>
          <w:lang w:val="en-US"/>
        </w:rPr>
        <w:t xml:space="preserve">; </w:t>
      </w:r>
      <w:r w:rsidRPr="00814E54">
        <w:rPr>
          <w:rFonts w:ascii="Times New Roman" w:hAnsi="Times New Roman" w:cs="Times New Roman"/>
          <w:bCs/>
          <w:sz w:val="24"/>
          <w:szCs w:val="24"/>
          <w:lang w:val="en-US"/>
        </w:rPr>
        <w:t>appeal</w:t>
      </w:r>
      <w:r w:rsidR="00B21A77">
        <w:rPr>
          <w:rFonts w:ascii="Times New Roman" w:hAnsi="Times New Roman" w:cs="Times New Roman"/>
          <w:bCs/>
          <w:sz w:val="24"/>
          <w:szCs w:val="24"/>
          <w:lang w:val="en-US"/>
        </w:rPr>
        <w:t xml:space="preserve">; </w:t>
      </w:r>
      <w:r w:rsidRPr="00814E54">
        <w:rPr>
          <w:rFonts w:ascii="Times New Roman" w:hAnsi="Times New Roman" w:cs="Times New Roman"/>
          <w:bCs/>
          <w:sz w:val="24"/>
          <w:szCs w:val="24"/>
          <w:lang w:val="en-US"/>
        </w:rPr>
        <w:t>unconstitutional</w:t>
      </w:r>
    </w:p>
    <w:p w14:paraId="5D054326" w14:textId="77777777" w:rsidR="007A549C" w:rsidRPr="00814E54" w:rsidRDefault="007A549C" w:rsidP="00B21A77">
      <w:pPr>
        <w:spacing w:line="360" w:lineRule="auto"/>
        <w:jc w:val="both"/>
        <w:rPr>
          <w:rFonts w:ascii="Times New Roman" w:hAnsi="Times New Roman" w:cs="Times New Roman"/>
          <w:bCs/>
          <w:sz w:val="24"/>
          <w:szCs w:val="24"/>
          <w:lang w:val="en-US"/>
        </w:rPr>
      </w:pPr>
    </w:p>
    <w:p w14:paraId="70F407C0" w14:textId="0DC39D5C" w:rsidR="00114599" w:rsidRPr="00814E54" w:rsidRDefault="00114599" w:rsidP="00B21A77">
      <w:pPr>
        <w:spacing w:line="360" w:lineRule="auto"/>
        <w:jc w:val="both"/>
        <w:rPr>
          <w:rFonts w:ascii="Times New Roman" w:hAnsi="Times New Roman" w:cs="Times New Roman"/>
          <w:sz w:val="24"/>
          <w:szCs w:val="24"/>
          <w:lang w:val="en-US"/>
        </w:rPr>
      </w:pPr>
    </w:p>
    <w:p w14:paraId="24789C4E" w14:textId="4211138F" w:rsidR="003A3D8D" w:rsidRPr="00814E54" w:rsidRDefault="003A3D8D" w:rsidP="00B21A77">
      <w:pPr>
        <w:spacing w:line="360" w:lineRule="auto"/>
        <w:jc w:val="both"/>
        <w:rPr>
          <w:rFonts w:ascii="Times New Roman" w:hAnsi="Times New Roman" w:cs="Times New Roman"/>
          <w:sz w:val="24"/>
          <w:szCs w:val="24"/>
          <w:lang w:val="en-US"/>
        </w:rPr>
      </w:pPr>
    </w:p>
    <w:p w14:paraId="242829C5" w14:textId="61AB93D4" w:rsidR="003A3D8D" w:rsidRPr="00814E54" w:rsidRDefault="003A3D8D" w:rsidP="00B21A77">
      <w:pPr>
        <w:spacing w:line="360" w:lineRule="auto"/>
        <w:jc w:val="both"/>
        <w:rPr>
          <w:rFonts w:ascii="Times New Roman" w:hAnsi="Times New Roman" w:cs="Times New Roman"/>
          <w:sz w:val="24"/>
          <w:szCs w:val="24"/>
          <w:lang w:val="en-US"/>
        </w:rPr>
      </w:pPr>
    </w:p>
    <w:p w14:paraId="0E5309FB" w14:textId="22B28D1F" w:rsidR="00725CA3" w:rsidRPr="00814E54" w:rsidRDefault="00725CA3" w:rsidP="00B21A77">
      <w:pPr>
        <w:spacing w:line="360" w:lineRule="auto"/>
        <w:jc w:val="both"/>
        <w:rPr>
          <w:rFonts w:ascii="Times New Roman" w:hAnsi="Times New Roman" w:cs="Times New Roman"/>
          <w:sz w:val="24"/>
          <w:szCs w:val="24"/>
          <w:lang w:val="en-US"/>
        </w:rPr>
      </w:pPr>
    </w:p>
    <w:p w14:paraId="36DC94CF" w14:textId="4745AC08" w:rsidR="00725CA3" w:rsidRDefault="00725CA3" w:rsidP="00B21A77">
      <w:pPr>
        <w:spacing w:line="360" w:lineRule="auto"/>
        <w:jc w:val="both"/>
        <w:rPr>
          <w:rFonts w:ascii="Times New Roman" w:hAnsi="Times New Roman" w:cs="Times New Roman"/>
          <w:sz w:val="24"/>
          <w:szCs w:val="24"/>
          <w:lang w:val="en-US"/>
        </w:rPr>
      </w:pPr>
    </w:p>
    <w:p w14:paraId="48635B7A" w14:textId="77777777" w:rsidR="000B7B23" w:rsidRDefault="000B7B23" w:rsidP="00B21A77">
      <w:pPr>
        <w:spacing w:line="360" w:lineRule="auto"/>
        <w:jc w:val="both"/>
        <w:rPr>
          <w:rFonts w:ascii="Times New Roman" w:hAnsi="Times New Roman" w:cs="Times New Roman"/>
          <w:sz w:val="24"/>
          <w:szCs w:val="24"/>
          <w:lang w:val="en-US"/>
        </w:rPr>
      </w:pPr>
    </w:p>
    <w:p w14:paraId="02B8E412" w14:textId="77777777" w:rsidR="000B7B23" w:rsidRDefault="000B7B23" w:rsidP="00B21A77">
      <w:pPr>
        <w:spacing w:line="360" w:lineRule="auto"/>
        <w:jc w:val="both"/>
        <w:rPr>
          <w:rFonts w:ascii="Times New Roman" w:hAnsi="Times New Roman" w:cs="Times New Roman"/>
          <w:sz w:val="24"/>
          <w:szCs w:val="24"/>
          <w:lang w:val="en-US"/>
        </w:rPr>
      </w:pPr>
    </w:p>
    <w:p w14:paraId="0A124662" w14:textId="77777777" w:rsidR="000B7B23" w:rsidRDefault="000B7B23" w:rsidP="00B21A77">
      <w:pPr>
        <w:spacing w:line="360" w:lineRule="auto"/>
        <w:jc w:val="both"/>
        <w:rPr>
          <w:rFonts w:ascii="Times New Roman" w:hAnsi="Times New Roman" w:cs="Times New Roman"/>
          <w:sz w:val="24"/>
          <w:szCs w:val="24"/>
          <w:lang w:val="en-US"/>
        </w:rPr>
      </w:pPr>
    </w:p>
    <w:p w14:paraId="4BA7ABFB" w14:textId="1CA66CAE" w:rsidR="00A8665D" w:rsidRDefault="003E14C3" w:rsidP="00B21A77">
      <w:pPr>
        <w:spacing w:line="360" w:lineRule="auto"/>
        <w:jc w:val="center"/>
        <w:rPr>
          <w:rFonts w:ascii="Times New Roman" w:eastAsia="Times New Roman" w:hAnsi="Times New Roman" w:cs="Times New Roman"/>
          <w:b/>
          <w:bCs/>
          <w:sz w:val="28"/>
          <w:szCs w:val="28"/>
          <w:lang w:eastAsia="es-EC"/>
        </w:rPr>
      </w:pPr>
      <w:r w:rsidRPr="005E3BC9">
        <w:rPr>
          <w:rFonts w:ascii="Times New Roman" w:eastAsia="Times New Roman" w:hAnsi="Times New Roman" w:cs="Times New Roman"/>
          <w:b/>
          <w:bCs/>
          <w:sz w:val="28"/>
          <w:szCs w:val="28"/>
          <w:lang w:eastAsia="es-EC"/>
        </w:rPr>
        <w:t>Introducción</w:t>
      </w:r>
    </w:p>
    <w:p w14:paraId="7E2A64EE" w14:textId="77777777" w:rsidR="000D2CCE" w:rsidRDefault="000D2CCE" w:rsidP="00B21A77">
      <w:pPr>
        <w:spacing w:line="360" w:lineRule="auto"/>
        <w:jc w:val="both"/>
        <w:rPr>
          <w:rFonts w:ascii="Times New Roman" w:eastAsia="Times New Roman" w:hAnsi="Times New Roman" w:cs="Times New Roman"/>
          <w:color w:val="FF0000"/>
          <w:sz w:val="24"/>
          <w:szCs w:val="24"/>
          <w:lang w:eastAsia="es-EC"/>
        </w:rPr>
      </w:pPr>
    </w:p>
    <w:p w14:paraId="79C1B8D7" w14:textId="64D379B7" w:rsidR="007E355E" w:rsidRDefault="007E355E" w:rsidP="00B21A77">
      <w:pPr>
        <w:spacing w:line="360" w:lineRule="auto"/>
        <w:jc w:val="both"/>
        <w:rPr>
          <w:rFonts w:ascii="Times New Roman" w:hAnsi="Times New Roman" w:cs="Times New Roman"/>
          <w:sz w:val="24"/>
          <w:szCs w:val="24"/>
        </w:rPr>
      </w:pPr>
      <w:r w:rsidRPr="00DD7226">
        <w:rPr>
          <w:rFonts w:ascii="Times New Roman" w:hAnsi="Times New Roman" w:cs="Times New Roman"/>
          <w:sz w:val="24"/>
          <w:szCs w:val="24"/>
        </w:rPr>
        <w:t>En el sistema penal ecuatoriano, el recurso de casación constituye un mecanismo judicial extraordinario y excepcional, cuya finalidad es garantizar la corrección de los fallos judiciales en la administración de justicia ordinaria</w:t>
      </w:r>
      <w:r>
        <w:rPr>
          <w:rFonts w:ascii="Times New Roman" w:hAnsi="Times New Roman" w:cs="Times New Roman"/>
          <w:sz w:val="24"/>
          <w:szCs w:val="24"/>
        </w:rPr>
        <w:t xml:space="preserve"> </w:t>
      </w:r>
      <w:r w:rsidRPr="00824F1A">
        <w:rPr>
          <w:rFonts w:ascii="Times New Roman" w:hAnsi="Times New Roman" w:cs="Times New Roman"/>
          <w:sz w:val="24"/>
          <w:szCs w:val="24"/>
        </w:rPr>
        <w:t>cuando se haya violado la ley, contravenido su texto o por una indebida aplicación de ella</w:t>
      </w:r>
      <w:r>
        <w:rPr>
          <w:rFonts w:ascii="Times New Roman" w:hAnsi="Times New Roman" w:cs="Times New Roman"/>
          <w:sz w:val="24"/>
          <w:szCs w:val="24"/>
        </w:rPr>
        <w:t xml:space="preserve">. Su procedencia encuentra </w:t>
      </w:r>
      <w:r w:rsidRPr="005D2FCE">
        <w:rPr>
          <w:rFonts w:ascii="Times New Roman" w:hAnsi="Times New Roman" w:cs="Times New Roman"/>
          <w:sz w:val="24"/>
          <w:szCs w:val="24"/>
        </w:rPr>
        <w:t>recogida en el artículo 656 del Código Orgánico Integral Penal, que también determina que no son admisibles los recursos que contengan pedidos de revisión de los hechos del caso concreto, ni de nueva valoración de la prueba.</w:t>
      </w:r>
    </w:p>
    <w:p w14:paraId="1526AB47" w14:textId="209FFBE1" w:rsidR="007E355E" w:rsidRDefault="007E355E"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Corte Nacional de Justicia, con la finalidad de regular la interposición del recurso de casación penal, emitió jurisprudencia obligatoria mediante </w:t>
      </w:r>
      <w:r w:rsidRPr="005D2FCE">
        <w:rPr>
          <w:rFonts w:ascii="Times New Roman" w:hAnsi="Times New Roman" w:cs="Times New Roman"/>
          <w:sz w:val="24"/>
          <w:szCs w:val="24"/>
        </w:rPr>
        <w:t>Resolución No. 10-2015</w:t>
      </w:r>
      <w:r>
        <w:rPr>
          <w:rFonts w:ascii="Times New Roman" w:hAnsi="Times New Roman" w:cs="Times New Roman"/>
          <w:sz w:val="24"/>
          <w:szCs w:val="24"/>
        </w:rPr>
        <w:t xml:space="preserve"> de </w:t>
      </w:r>
      <w:r w:rsidRPr="005D2FCE">
        <w:rPr>
          <w:rFonts w:ascii="Times New Roman" w:hAnsi="Times New Roman" w:cs="Times New Roman"/>
          <w:sz w:val="24"/>
          <w:szCs w:val="24"/>
        </w:rPr>
        <w:t xml:space="preserve">5 de julio de 2015 y publicada en el Registro Oficial No. 563 el 12 </w:t>
      </w:r>
      <w:r w:rsidR="0078227A">
        <w:rPr>
          <w:rFonts w:ascii="Times New Roman" w:hAnsi="Times New Roman" w:cs="Times New Roman"/>
          <w:sz w:val="24"/>
          <w:szCs w:val="24"/>
        </w:rPr>
        <w:t xml:space="preserve">de agosto </w:t>
      </w:r>
      <w:r>
        <w:rPr>
          <w:rFonts w:ascii="Times New Roman" w:hAnsi="Times New Roman" w:cs="Times New Roman"/>
          <w:sz w:val="24"/>
          <w:szCs w:val="24"/>
        </w:rPr>
        <w:t>del mismo año</w:t>
      </w:r>
      <w:r w:rsidRPr="005D2FCE">
        <w:rPr>
          <w:rFonts w:ascii="Times New Roman" w:hAnsi="Times New Roman" w:cs="Times New Roman"/>
          <w:sz w:val="24"/>
          <w:szCs w:val="24"/>
        </w:rPr>
        <w:t>,</w:t>
      </w:r>
      <w:r>
        <w:rPr>
          <w:rFonts w:ascii="Times New Roman" w:hAnsi="Times New Roman" w:cs="Times New Roman"/>
          <w:sz w:val="24"/>
          <w:szCs w:val="24"/>
        </w:rPr>
        <w:t xml:space="preserve"> con la que </w:t>
      </w:r>
      <w:r w:rsidRPr="00032DD3">
        <w:rPr>
          <w:rFonts w:ascii="Times New Roman" w:hAnsi="Times New Roman" w:cs="Times New Roman"/>
          <w:sz w:val="24"/>
          <w:szCs w:val="24"/>
        </w:rPr>
        <w:t>introdujo la exigencia de una fase previa de admisibilidad como requisito indispensable para la procedencia del recurso de casación penal</w:t>
      </w:r>
      <w:r>
        <w:rPr>
          <w:rFonts w:ascii="Times New Roman" w:hAnsi="Times New Roman" w:cs="Times New Roman"/>
          <w:sz w:val="24"/>
          <w:szCs w:val="24"/>
        </w:rPr>
        <w:t xml:space="preserve">, aquello sin respaldo en el </w:t>
      </w:r>
      <w:r w:rsidR="00AF703F">
        <w:rPr>
          <w:rFonts w:ascii="Times New Roman" w:hAnsi="Times New Roman" w:cs="Times New Roman"/>
          <w:sz w:val="24"/>
          <w:szCs w:val="24"/>
        </w:rPr>
        <w:t>Código Orgánico Integral Penal</w:t>
      </w:r>
      <w:r>
        <w:rPr>
          <w:rFonts w:ascii="Times New Roman" w:hAnsi="Times New Roman" w:cs="Times New Roman"/>
          <w:sz w:val="24"/>
          <w:szCs w:val="24"/>
        </w:rPr>
        <w:t xml:space="preserve"> y en detrimento al debido proceso y derecho a la defensa en su garantía del derecho a recurrir.</w:t>
      </w:r>
    </w:p>
    <w:p w14:paraId="52B5EED6" w14:textId="5EBCC7DF" w:rsidR="007E355E" w:rsidRDefault="007E355E" w:rsidP="00B21A77">
      <w:pPr>
        <w:spacing w:line="360" w:lineRule="auto"/>
        <w:jc w:val="both"/>
        <w:rPr>
          <w:rFonts w:ascii="Times New Roman" w:hAnsi="Times New Roman" w:cs="Times New Roman"/>
          <w:sz w:val="24"/>
          <w:szCs w:val="24"/>
        </w:rPr>
      </w:pPr>
      <w:r w:rsidRPr="00DD7226">
        <w:rPr>
          <w:rFonts w:ascii="Times New Roman" w:hAnsi="Times New Roman" w:cs="Times New Roman"/>
          <w:sz w:val="24"/>
          <w:szCs w:val="24"/>
        </w:rPr>
        <w:t>En la</w:t>
      </w:r>
      <w:r>
        <w:rPr>
          <w:rFonts w:ascii="Times New Roman" w:hAnsi="Times New Roman" w:cs="Times New Roman"/>
          <w:sz w:val="24"/>
          <w:szCs w:val="24"/>
        </w:rPr>
        <w:t xml:space="preserve"> práctica, la</w:t>
      </w:r>
      <w:r w:rsidRPr="00DD7226">
        <w:rPr>
          <w:rFonts w:ascii="Times New Roman" w:hAnsi="Times New Roman" w:cs="Times New Roman"/>
          <w:sz w:val="24"/>
          <w:szCs w:val="24"/>
        </w:rPr>
        <w:t xml:space="preserve"> Corte Nacional de Justicia,</w:t>
      </w:r>
      <w:r>
        <w:rPr>
          <w:rFonts w:ascii="Times New Roman" w:hAnsi="Times New Roman" w:cs="Times New Roman"/>
          <w:sz w:val="24"/>
          <w:szCs w:val="24"/>
        </w:rPr>
        <w:t xml:space="preserve"> basada en la Resolución No. 10-2015, inadmitía los recursos de casación interpuestos,</w:t>
      </w:r>
      <w:r w:rsidRPr="007E355E">
        <w:rPr>
          <w:rFonts w:ascii="Times New Roman" w:hAnsi="Times New Roman" w:cs="Times New Roman"/>
          <w:sz w:val="24"/>
          <w:szCs w:val="24"/>
        </w:rPr>
        <w:t xml:space="preserve"> </w:t>
      </w:r>
      <w:r>
        <w:rPr>
          <w:rFonts w:ascii="Times New Roman" w:hAnsi="Times New Roman" w:cs="Times New Roman"/>
          <w:sz w:val="24"/>
          <w:szCs w:val="24"/>
        </w:rPr>
        <w:t>sin realizar un análisis del fondo del asunto recurrido, teniendo</w:t>
      </w:r>
      <w:r w:rsidRPr="007E355E">
        <w:rPr>
          <w:rFonts w:ascii="Times New Roman" w:hAnsi="Times New Roman" w:cs="Times New Roman"/>
          <w:sz w:val="24"/>
          <w:szCs w:val="24"/>
        </w:rPr>
        <w:t xml:space="preserve"> </w:t>
      </w:r>
      <w:r w:rsidRPr="00DD7226">
        <w:rPr>
          <w:rFonts w:ascii="Times New Roman" w:hAnsi="Times New Roman" w:cs="Times New Roman"/>
          <w:sz w:val="24"/>
          <w:szCs w:val="24"/>
        </w:rPr>
        <w:t xml:space="preserve">los </w:t>
      </w:r>
      <w:proofErr w:type="gramStart"/>
      <w:r w:rsidRPr="00DD7226">
        <w:rPr>
          <w:rFonts w:ascii="Times New Roman" w:hAnsi="Times New Roman" w:cs="Times New Roman"/>
          <w:sz w:val="24"/>
          <w:szCs w:val="24"/>
        </w:rPr>
        <w:t>recurrentes</w:t>
      </w:r>
      <w:r w:rsidRPr="007E355E">
        <w:rPr>
          <w:rFonts w:ascii="Times New Roman" w:hAnsi="Times New Roman" w:cs="Times New Roman"/>
          <w:sz w:val="24"/>
          <w:szCs w:val="24"/>
        </w:rPr>
        <w:t xml:space="preserve"> </w:t>
      </w:r>
      <w:r>
        <w:rPr>
          <w:rFonts w:ascii="Times New Roman" w:hAnsi="Times New Roman" w:cs="Times New Roman"/>
          <w:sz w:val="24"/>
          <w:szCs w:val="24"/>
        </w:rPr>
        <w:t xml:space="preserve"> que</w:t>
      </w:r>
      <w:proofErr w:type="gramEnd"/>
      <w:r>
        <w:rPr>
          <w:rFonts w:ascii="Times New Roman" w:hAnsi="Times New Roman" w:cs="Times New Roman"/>
          <w:sz w:val="24"/>
          <w:szCs w:val="24"/>
        </w:rPr>
        <w:t xml:space="preserve"> interponer acciones extraordinarias de protección</w:t>
      </w:r>
      <w:r w:rsidRPr="00DD7226">
        <w:rPr>
          <w:rFonts w:ascii="Times New Roman" w:hAnsi="Times New Roman" w:cs="Times New Roman"/>
          <w:sz w:val="24"/>
          <w:szCs w:val="24"/>
        </w:rPr>
        <w:t xml:space="preserve"> ante la Corte Constitucional</w:t>
      </w:r>
      <w:r>
        <w:rPr>
          <w:rFonts w:ascii="Times New Roman" w:hAnsi="Times New Roman" w:cs="Times New Roman"/>
          <w:sz w:val="24"/>
          <w:szCs w:val="24"/>
        </w:rPr>
        <w:t xml:space="preserve">, </w:t>
      </w:r>
      <w:r w:rsidRPr="00DD7226">
        <w:rPr>
          <w:rFonts w:ascii="Times New Roman" w:hAnsi="Times New Roman" w:cs="Times New Roman"/>
          <w:sz w:val="24"/>
          <w:szCs w:val="24"/>
        </w:rPr>
        <w:t>a fin de hacer efectivos sus derechos</w:t>
      </w:r>
      <w:r>
        <w:rPr>
          <w:rFonts w:ascii="Times New Roman" w:hAnsi="Times New Roman" w:cs="Times New Roman"/>
          <w:sz w:val="24"/>
          <w:szCs w:val="24"/>
        </w:rPr>
        <w:t>.</w:t>
      </w:r>
    </w:p>
    <w:p w14:paraId="34BB968E" w14:textId="0695C001" w:rsidR="007E355E" w:rsidRPr="00DD7226" w:rsidRDefault="007E355E"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ante una acción de inconstitucionalidad de norma, </w:t>
      </w:r>
      <w:r w:rsidRPr="00DD7226">
        <w:rPr>
          <w:rFonts w:ascii="Times New Roman" w:hAnsi="Times New Roman" w:cs="Times New Roman"/>
          <w:sz w:val="24"/>
          <w:szCs w:val="24"/>
        </w:rPr>
        <w:t xml:space="preserve">la Corte Constitucional en la </w:t>
      </w:r>
      <w:r>
        <w:rPr>
          <w:rFonts w:ascii="Times New Roman" w:hAnsi="Times New Roman" w:cs="Times New Roman"/>
          <w:sz w:val="24"/>
          <w:szCs w:val="24"/>
        </w:rPr>
        <w:t>S</w:t>
      </w:r>
      <w:r w:rsidRPr="00DD7226">
        <w:rPr>
          <w:rFonts w:ascii="Times New Roman" w:hAnsi="Times New Roman" w:cs="Times New Roman"/>
          <w:sz w:val="24"/>
          <w:szCs w:val="24"/>
        </w:rPr>
        <w:t xml:space="preserve">entencia </w:t>
      </w:r>
      <w:r w:rsidR="00B9258B">
        <w:rPr>
          <w:rFonts w:ascii="Times New Roman" w:hAnsi="Times New Roman" w:cs="Times New Roman"/>
          <w:sz w:val="24"/>
          <w:szCs w:val="24"/>
        </w:rPr>
        <w:t>N</w:t>
      </w:r>
      <w:r>
        <w:rPr>
          <w:rFonts w:ascii="Times New Roman" w:hAnsi="Times New Roman" w:cs="Times New Roman"/>
          <w:sz w:val="24"/>
          <w:szCs w:val="24"/>
        </w:rPr>
        <w:t xml:space="preserve">o. </w:t>
      </w:r>
      <w:r w:rsidRPr="00DD7226">
        <w:rPr>
          <w:rFonts w:ascii="Times New Roman" w:hAnsi="Times New Roman" w:cs="Times New Roman"/>
          <w:sz w:val="24"/>
          <w:szCs w:val="24"/>
        </w:rPr>
        <w:t>8-19/IN21</w:t>
      </w:r>
      <w:r>
        <w:rPr>
          <w:rFonts w:ascii="Times New Roman" w:hAnsi="Times New Roman" w:cs="Times New Roman"/>
          <w:sz w:val="24"/>
          <w:szCs w:val="24"/>
        </w:rPr>
        <w:t xml:space="preserve"> </w:t>
      </w:r>
      <w:r w:rsidRPr="00DD7226">
        <w:rPr>
          <w:rFonts w:ascii="Times New Roman" w:hAnsi="Times New Roman" w:cs="Times New Roman"/>
          <w:sz w:val="24"/>
          <w:szCs w:val="24"/>
        </w:rPr>
        <w:t xml:space="preserve">declaró </w:t>
      </w:r>
      <w:r>
        <w:rPr>
          <w:rFonts w:ascii="Times New Roman" w:hAnsi="Times New Roman" w:cs="Times New Roman"/>
          <w:sz w:val="24"/>
          <w:szCs w:val="24"/>
        </w:rPr>
        <w:t>la inconstitucionalidad</w:t>
      </w:r>
      <w:r w:rsidRPr="00DD7226">
        <w:rPr>
          <w:rFonts w:ascii="Times New Roman" w:hAnsi="Times New Roman" w:cs="Times New Roman"/>
          <w:sz w:val="24"/>
          <w:szCs w:val="24"/>
        </w:rPr>
        <w:t xml:space="preserve"> </w:t>
      </w:r>
      <w:r>
        <w:rPr>
          <w:rFonts w:ascii="Times New Roman" w:hAnsi="Times New Roman" w:cs="Times New Roman"/>
          <w:sz w:val="24"/>
          <w:szCs w:val="24"/>
        </w:rPr>
        <w:t xml:space="preserve">por la forma de </w:t>
      </w:r>
      <w:r w:rsidRPr="00DD7226">
        <w:rPr>
          <w:rFonts w:ascii="Times New Roman" w:hAnsi="Times New Roman" w:cs="Times New Roman"/>
          <w:sz w:val="24"/>
          <w:szCs w:val="24"/>
        </w:rPr>
        <w:t xml:space="preserve">la Resolución </w:t>
      </w:r>
      <w:r>
        <w:rPr>
          <w:rFonts w:ascii="Times New Roman" w:hAnsi="Times New Roman" w:cs="Times New Roman"/>
          <w:sz w:val="24"/>
          <w:szCs w:val="24"/>
        </w:rPr>
        <w:t xml:space="preserve">No. </w:t>
      </w:r>
      <w:r w:rsidRPr="00DD7226">
        <w:rPr>
          <w:rFonts w:ascii="Times New Roman" w:hAnsi="Times New Roman" w:cs="Times New Roman"/>
          <w:sz w:val="24"/>
          <w:szCs w:val="24"/>
        </w:rPr>
        <w:t>10-2015</w:t>
      </w:r>
      <w:r>
        <w:rPr>
          <w:rFonts w:ascii="Times New Roman" w:hAnsi="Times New Roman" w:cs="Times New Roman"/>
          <w:sz w:val="24"/>
          <w:szCs w:val="24"/>
        </w:rPr>
        <w:t xml:space="preserve">, por haber sido dictada contraviniendo lo dispuesto en el artículo 185 de la Constitución de la República del Ecuador para la emisión de jurisprudencia obligatoria, ya que </w:t>
      </w:r>
      <w:r w:rsidRPr="000537C5">
        <w:rPr>
          <w:rFonts w:ascii="Times New Roman" w:hAnsi="Times New Roman" w:cs="Times New Roman"/>
          <w:sz w:val="24"/>
          <w:szCs w:val="24"/>
        </w:rPr>
        <w:t xml:space="preserve">los autos que fueron empleados por la Corte Nacional </w:t>
      </w:r>
      <w:r>
        <w:rPr>
          <w:rFonts w:ascii="Times New Roman" w:hAnsi="Times New Roman" w:cs="Times New Roman"/>
          <w:sz w:val="24"/>
          <w:szCs w:val="24"/>
        </w:rPr>
        <w:t xml:space="preserve">de Justicia </w:t>
      </w:r>
      <w:r w:rsidRPr="000537C5">
        <w:rPr>
          <w:rFonts w:ascii="Times New Roman" w:hAnsi="Times New Roman" w:cs="Times New Roman"/>
          <w:sz w:val="24"/>
          <w:szCs w:val="24"/>
        </w:rPr>
        <w:t>como</w:t>
      </w:r>
      <w:r>
        <w:rPr>
          <w:rFonts w:ascii="Times New Roman" w:hAnsi="Times New Roman" w:cs="Times New Roman"/>
          <w:sz w:val="24"/>
          <w:szCs w:val="24"/>
        </w:rPr>
        <w:t xml:space="preserve"> </w:t>
      </w:r>
      <w:r w:rsidRPr="000537C5">
        <w:rPr>
          <w:rFonts w:ascii="Times New Roman" w:hAnsi="Times New Roman" w:cs="Times New Roman"/>
          <w:sz w:val="24"/>
          <w:szCs w:val="24"/>
        </w:rPr>
        <w:t>base de su resolución de jurisprudencia vinculante, correspondieron a autos que</w:t>
      </w:r>
      <w:r>
        <w:rPr>
          <w:rFonts w:ascii="Times New Roman" w:hAnsi="Times New Roman" w:cs="Times New Roman"/>
          <w:sz w:val="24"/>
          <w:szCs w:val="24"/>
        </w:rPr>
        <w:t xml:space="preserve"> </w:t>
      </w:r>
      <w:r w:rsidRPr="000537C5">
        <w:rPr>
          <w:rFonts w:ascii="Times New Roman" w:hAnsi="Times New Roman" w:cs="Times New Roman"/>
          <w:sz w:val="24"/>
          <w:szCs w:val="24"/>
        </w:rPr>
        <w:t>fueron emiti</w:t>
      </w:r>
      <w:r w:rsidR="00964631">
        <w:rPr>
          <w:rFonts w:ascii="Times New Roman" w:hAnsi="Times New Roman" w:cs="Times New Roman"/>
          <w:sz w:val="24"/>
          <w:szCs w:val="24"/>
        </w:rPr>
        <w:t xml:space="preserve">dos durante una etapa procesal fase de admisión </w:t>
      </w:r>
      <w:r w:rsidRPr="000537C5">
        <w:rPr>
          <w:rFonts w:ascii="Times New Roman" w:hAnsi="Times New Roman" w:cs="Times New Roman"/>
          <w:sz w:val="24"/>
          <w:szCs w:val="24"/>
        </w:rPr>
        <w:t>no prevista en ese</w:t>
      </w:r>
      <w:r>
        <w:rPr>
          <w:rFonts w:ascii="Times New Roman" w:hAnsi="Times New Roman" w:cs="Times New Roman"/>
          <w:sz w:val="24"/>
          <w:szCs w:val="24"/>
        </w:rPr>
        <w:t xml:space="preserve"> </w:t>
      </w:r>
      <w:r w:rsidR="00964631">
        <w:rPr>
          <w:rFonts w:ascii="Times New Roman" w:hAnsi="Times New Roman" w:cs="Times New Roman"/>
          <w:sz w:val="24"/>
          <w:szCs w:val="24"/>
        </w:rPr>
        <w:t>momento en el Código Orgánico Integral Penal</w:t>
      </w:r>
      <w:r w:rsidRPr="000537C5">
        <w:rPr>
          <w:rFonts w:ascii="Times New Roman" w:hAnsi="Times New Roman" w:cs="Times New Roman"/>
          <w:sz w:val="24"/>
          <w:szCs w:val="24"/>
        </w:rPr>
        <w:t xml:space="preserve"> </w:t>
      </w:r>
      <w:r>
        <w:rPr>
          <w:rFonts w:ascii="Times New Roman" w:hAnsi="Times New Roman" w:cs="Times New Roman"/>
          <w:sz w:val="24"/>
          <w:szCs w:val="24"/>
        </w:rPr>
        <w:t xml:space="preserve">y no en sentencias </w:t>
      </w:r>
      <w:r w:rsidR="0078227A">
        <w:rPr>
          <w:rFonts w:ascii="Times New Roman" w:hAnsi="Times New Roman" w:cs="Times New Roman"/>
          <w:sz w:val="24"/>
          <w:szCs w:val="24"/>
        </w:rPr>
        <w:t xml:space="preserve">o autos </w:t>
      </w:r>
      <w:r>
        <w:rPr>
          <w:rFonts w:ascii="Times New Roman" w:hAnsi="Times New Roman" w:cs="Times New Roman"/>
          <w:sz w:val="24"/>
          <w:szCs w:val="24"/>
        </w:rPr>
        <w:t>que resuelvan el fondo del asunto recurrido.</w:t>
      </w:r>
    </w:p>
    <w:p w14:paraId="1B8BA340" w14:textId="77777777" w:rsidR="007E355E" w:rsidRDefault="007E355E" w:rsidP="00B21A77">
      <w:pPr>
        <w:spacing w:line="360" w:lineRule="auto"/>
        <w:ind w:firstLine="720"/>
        <w:jc w:val="both"/>
        <w:rPr>
          <w:rFonts w:ascii="Times New Roman" w:hAnsi="Times New Roman" w:cs="Times New Roman"/>
          <w:sz w:val="24"/>
          <w:szCs w:val="24"/>
        </w:rPr>
      </w:pPr>
    </w:p>
    <w:p w14:paraId="570283AC" w14:textId="5AA3D0B2" w:rsidR="007E355E" w:rsidRPr="00DD7226" w:rsidRDefault="007E355E" w:rsidP="00B21A77">
      <w:pPr>
        <w:spacing w:line="360" w:lineRule="auto"/>
        <w:jc w:val="both"/>
        <w:rPr>
          <w:rFonts w:ascii="Times New Roman" w:hAnsi="Times New Roman" w:cs="Times New Roman"/>
          <w:sz w:val="24"/>
          <w:szCs w:val="24"/>
        </w:rPr>
      </w:pPr>
      <w:r w:rsidRPr="00DD7226">
        <w:rPr>
          <w:rFonts w:ascii="Times New Roman" w:hAnsi="Times New Roman" w:cs="Times New Roman"/>
          <w:sz w:val="24"/>
          <w:szCs w:val="24"/>
        </w:rPr>
        <w:t xml:space="preserve">De lo expuesto se puede indicar que el examen de admisibilidad, en términos generales, </w:t>
      </w:r>
      <w:r w:rsidR="0078227A">
        <w:rPr>
          <w:rFonts w:ascii="Times New Roman" w:hAnsi="Times New Roman" w:cs="Times New Roman"/>
          <w:sz w:val="24"/>
          <w:szCs w:val="24"/>
        </w:rPr>
        <w:t>constituyó</w:t>
      </w:r>
      <w:r w:rsidRPr="00DD7226">
        <w:rPr>
          <w:rFonts w:ascii="Times New Roman" w:hAnsi="Times New Roman" w:cs="Times New Roman"/>
          <w:sz w:val="24"/>
          <w:szCs w:val="24"/>
        </w:rPr>
        <w:t xml:space="preserve"> un filtro procesal que permitía la tramitación por parte de la </w:t>
      </w:r>
      <w:r>
        <w:rPr>
          <w:rFonts w:ascii="Times New Roman" w:hAnsi="Times New Roman" w:cs="Times New Roman"/>
          <w:sz w:val="24"/>
          <w:szCs w:val="24"/>
        </w:rPr>
        <w:t>Corte Nacional de Justicia</w:t>
      </w:r>
      <w:r w:rsidRPr="00DD7226">
        <w:rPr>
          <w:rFonts w:ascii="Times New Roman" w:hAnsi="Times New Roman" w:cs="Times New Roman"/>
          <w:sz w:val="24"/>
          <w:szCs w:val="24"/>
        </w:rPr>
        <w:t>, únicamente para aquellos recursos que hayan sido interpuestos de manera correcta en el aspecto formal, lo cual e</w:t>
      </w:r>
      <w:r>
        <w:rPr>
          <w:rFonts w:ascii="Times New Roman" w:hAnsi="Times New Roman" w:cs="Times New Roman"/>
          <w:sz w:val="24"/>
          <w:szCs w:val="24"/>
        </w:rPr>
        <w:t xml:space="preserve">s </w:t>
      </w:r>
      <w:r w:rsidRPr="00DD7226">
        <w:rPr>
          <w:rFonts w:ascii="Times New Roman" w:hAnsi="Times New Roman" w:cs="Times New Roman"/>
          <w:sz w:val="24"/>
          <w:szCs w:val="24"/>
        </w:rPr>
        <w:t>contradictorio con lo dispuesto  en el artículo 1 de la Constitución de la República del Ecuador, en relación con el Art. 169 que dice</w:t>
      </w:r>
      <w:r w:rsidR="0078227A">
        <w:rPr>
          <w:rFonts w:ascii="Times New Roman" w:hAnsi="Times New Roman" w:cs="Times New Roman"/>
          <w:sz w:val="24"/>
          <w:szCs w:val="24"/>
        </w:rPr>
        <w:t xml:space="preserve"> que e</w:t>
      </w:r>
      <w:r w:rsidRPr="00DD7226">
        <w:rPr>
          <w:rFonts w:ascii="Times New Roman" w:hAnsi="Times New Roman" w:cs="Times New Roman"/>
          <w:sz w:val="24"/>
          <w:szCs w:val="24"/>
        </w:rPr>
        <w:t>l sistema procesal es un medio para la realización de la justicia, por ende debe respetarse las norma procesales, basados en los principios de simplificación, uniformidad, eficacia, inmediación, celeridad y economía procesal, a fin de garantizar las garantías del debido proceso</w:t>
      </w:r>
      <w:r w:rsidR="001E784C">
        <w:rPr>
          <w:rFonts w:ascii="Times New Roman" w:hAnsi="Times New Roman" w:cs="Times New Roman"/>
          <w:sz w:val="24"/>
          <w:szCs w:val="24"/>
        </w:rPr>
        <w:t>.</w:t>
      </w:r>
    </w:p>
    <w:p w14:paraId="6F21F987" w14:textId="2F7A1A57" w:rsidR="007E355E" w:rsidRDefault="007E355E" w:rsidP="00B21A77">
      <w:pPr>
        <w:spacing w:line="360" w:lineRule="auto"/>
        <w:jc w:val="both"/>
        <w:rPr>
          <w:rFonts w:ascii="Times New Roman" w:hAnsi="Times New Roman" w:cs="Times New Roman"/>
          <w:sz w:val="24"/>
          <w:szCs w:val="24"/>
        </w:rPr>
      </w:pPr>
      <w:r w:rsidRPr="00C561E4">
        <w:rPr>
          <w:rFonts w:ascii="Times New Roman" w:hAnsi="Times New Roman" w:cs="Times New Roman"/>
          <w:sz w:val="24"/>
          <w:szCs w:val="24"/>
        </w:rPr>
        <w:t>El presente artículo</w:t>
      </w:r>
      <w:r>
        <w:rPr>
          <w:rFonts w:ascii="Times New Roman" w:hAnsi="Times New Roman" w:cs="Times New Roman"/>
          <w:sz w:val="24"/>
          <w:szCs w:val="24"/>
        </w:rPr>
        <w:t xml:space="preserve"> científico</w:t>
      </w:r>
      <w:r w:rsidRPr="00C561E4">
        <w:rPr>
          <w:rFonts w:ascii="Times New Roman" w:hAnsi="Times New Roman" w:cs="Times New Roman"/>
          <w:sz w:val="24"/>
          <w:szCs w:val="24"/>
        </w:rPr>
        <w:t xml:space="preserve"> plantea como problema jurídico central la siguiente interrogante: </w:t>
      </w:r>
      <w:proofErr w:type="gramStart"/>
      <w:r w:rsidR="00DE10C3" w:rsidRPr="00C561E4">
        <w:rPr>
          <w:rFonts w:ascii="Times New Roman" w:hAnsi="Times New Roman" w:cs="Times New Roman"/>
          <w:sz w:val="24"/>
          <w:szCs w:val="24"/>
        </w:rPr>
        <w:t>¿</w:t>
      </w:r>
      <w:r w:rsidR="00DE10C3">
        <w:rPr>
          <w:rFonts w:ascii="Times New Roman" w:hAnsi="Times New Roman" w:cs="Times New Roman"/>
          <w:sz w:val="24"/>
          <w:szCs w:val="24"/>
        </w:rPr>
        <w:t>La</w:t>
      </w:r>
      <w:r w:rsidR="00DE10C3" w:rsidRPr="00C561E4">
        <w:rPr>
          <w:rFonts w:ascii="Times New Roman" w:hAnsi="Times New Roman" w:cs="Times New Roman"/>
          <w:sz w:val="24"/>
          <w:szCs w:val="24"/>
        </w:rPr>
        <w:t xml:space="preserve"> Resolución</w:t>
      </w:r>
      <w:r w:rsidR="00DE10C3">
        <w:rPr>
          <w:rFonts w:ascii="Times New Roman" w:hAnsi="Times New Roman" w:cs="Times New Roman"/>
          <w:sz w:val="24"/>
          <w:szCs w:val="24"/>
        </w:rPr>
        <w:t xml:space="preserve"> No.</w:t>
      </w:r>
      <w:proofErr w:type="gramEnd"/>
      <w:r>
        <w:rPr>
          <w:rFonts w:ascii="Times New Roman" w:hAnsi="Times New Roman" w:cs="Times New Roman"/>
          <w:sz w:val="24"/>
          <w:szCs w:val="24"/>
        </w:rPr>
        <w:t xml:space="preserve"> </w:t>
      </w:r>
      <w:r w:rsidRPr="00824F1A">
        <w:rPr>
          <w:rFonts w:ascii="Times New Roman" w:hAnsi="Times New Roman" w:cs="Times New Roman"/>
          <w:sz w:val="24"/>
          <w:szCs w:val="24"/>
        </w:rPr>
        <w:t xml:space="preserve">10-2015, emitida por la Corte Nacional de Justicia, vulneró el derecho constitucional al debido proceso y </w:t>
      </w:r>
      <w:r w:rsidR="0078227A">
        <w:rPr>
          <w:rFonts w:ascii="Times New Roman" w:hAnsi="Times New Roman" w:cs="Times New Roman"/>
          <w:sz w:val="24"/>
          <w:szCs w:val="24"/>
        </w:rPr>
        <w:t xml:space="preserve">el </w:t>
      </w:r>
      <w:r w:rsidRPr="00824F1A">
        <w:rPr>
          <w:rFonts w:ascii="Times New Roman" w:hAnsi="Times New Roman" w:cs="Times New Roman"/>
          <w:sz w:val="24"/>
          <w:szCs w:val="24"/>
        </w:rPr>
        <w:t>derecho a la defensa en su garantía de recurrir al establecer una fase de admisibilidad para el recurso de casación penal no prevista en el ordenamiento jurídico?</w:t>
      </w:r>
      <w:r w:rsidRPr="007E355E">
        <w:rPr>
          <w:rFonts w:ascii="Times New Roman" w:hAnsi="Times New Roman" w:cs="Times New Roman"/>
          <w:b/>
          <w:sz w:val="24"/>
          <w:szCs w:val="24"/>
        </w:rPr>
        <w:t xml:space="preserve"> </w:t>
      </w:r>
      <w:r w:rsidRPr="00824F1A">
        <w:rPr>
          <w:rFonts w:ascii="Times New Roman" w:hAnsi="Times New Roman" w:cs="Times New Roman"/>
          <w:b/>
          <w:sz w:val="24"/>
          <w:szCs w:val="24"/>
        </w:rPr>
        <w:t>Consecuentemente el objetivo general del presente estudio es analizar la inconstitucionalidad por el fondo de la Resolución No. 10-2015, emitida por la Corte Nacional de Justicia</w:t>
      </w:r>
      <w:r w:rsidR="0078227A">
        <w:rPr>
          <w:rFonts w:ascii="Times New Roman" w:hAnsi="Times New Roman" w:cs="Times New Roman"/>
          <w:b/>
          <w:sz w:val="24"/>
          <w:szCs w:val="24"/>
        </w:rPr>
        <w:t>,</w:t>
      </w:r>
      <w:r w:rsidRPr="007E355E">
        <w:rPr>
          <w:rFonts w:ascii="Times New Roman" w:hAnsi="Times New Roman" w:cs="Times New Roman"/>
          <w:sz w:val="24"/>
          <w:szCs w:val="24"/>
        </w:rPr>
        <w:t xml:space="preserve"> </w:t>
      </w:r>
      <w:r w:rsidRPr="00DD7226">
        <w:rPr>
          <w:rFonts w:ascii="Times New Roman" w:hAnsi="Times New Roman" w:cs="Times New Roman"/>
          <w:sz w:val="24"/>
          <w:szCs w:val="24"/>
        </w:rPr>
        <w:t>por cuanto</w:t>
      </w:r>
      <w:r>
        <w:rPr>
          <w:rFonts w:ascii="Times New Roman" w:hAnsi="Times New Roman" w:cs="Times New Roman"/>
          <w:sz w:val="24"/>
          <w:szCs w:val="24"/>
        </w:rPr>
        <w:t>, si bien,</w:t>
      </w:r>
      <w:r w:rsidRPr="00DD7226">
        <w:rPr>
          <w:rFonts w:ascii="Times New Roman" w:hAnsi="Times New Roman" w:cs="Times New Roman"/>
          <w:sz w:val="24"/>
          <w:szCs w:val="24"/>
        </w:rPr>
        <w:t xml:space="preserve"> la sentencia </w:t>
      </w:r>
      <w:r w:rsidR="00B9258B">
        <w:rPr>
          <w:rFonts w:ascii="Times New Roman" w:hAnsi="Times New Roman" w:cs="Times New Roman"/>
          <w:sz w:val="24"/>
          <w:szCs w:val="24"/>
        </w:rPr>
        <w:t xml:space="preserve">No. </w:t>
      </w:r>
      <w:r w:rsidRPr="00DD7226">
        <w:rPr>
          <w:rFonts w:ascii="Times New Roman" w:hAnsi="Times New Roman" w:cs="Times New Roman"/>
          <w:sz w:val="24"/>
          <w:szCs w:val="24"/>
        </w:rPr>
        <w:t>8-19-IN/2021, emitida por la Corte Constitucional</w:t>
      </w:r>
      <w:r>
        <w:rPr>
          <w:rFonts w:ascii="Times New Roman" w:hAnsi="Times New Roman" w:cs="Times New Roman"/>
          <w:sz w:val="24"/>
          <w:szCs w:val="24"/>
        </w:rPr>
        <w:t>, declaró inconstitucional</w:t>
      </w:r>
      <w:r w:rsidRPr="007E355E">
        <w:rPr>
          <w:rFonts w:ascii="Times New Roman" w:hAnsi="Times New Roman" w:cs="Times New Roman"/>
          <w:sz w:val="24"/>
          <w:szCs w:val="24"/>
        </w:rPr>
        <w:t xml:space="preserve"> </w:t>
      </w:r>
      <w:r w:rsidRPr="00DD7226">
        <w:rPr>
          <w:rFonts w:ascii="Times New Roman" w:hAnsi="Times New Roman" w:cs="Times New Roman"/>
          <w:sz w:val="24"/>
          <w:szCs w:val="24"/>
        </w:rPr>
        <w:t>por la forma</w:t>
      </w:r>
      <w:r>
        <w:rPr>
          <w:rFonts w:ascii="Times New Roman" w:hAnsi="Times New Roman" w:cs="Times New Roman"/>
          <w:sz w:val="24"/>
          <w:szCs w:val="24"/>
        </w:rPr>
        <w:t xml:space="preserve"> dicha Resolución y la expulsó del ordenamiento jurídico</w:t>
      </w:r>
      <w:r w:rsidRPr="00DD7226">
        <w:rPr>
          <w:rFonts w:ascii="Times New Roman" w:hAnsi="Times New Roman" w:cs="Times New Roman"/>
          <w:sz w:val="24"/>
          <w:szCs w:val="24"/>
        </w:rPr>
        <w:t xml:space="preserve">, </w:t>
      </w:r>
      <w:r>
        <w:rPr>
          <w:rFonts w:ascii="Times New Roman" w:hAnsi="Times New Roman" w:cs="Times New Roman"/>
          <w:sz w:val="24"/>
          <w:szCs w:val="24"/>
        </w:rPr>
        <w:t>el máximo órgano de justicia constitucional omitió realizar un análisis de fondo sobre la vulneración de los derechos al debido proceso y derecho a la defensa en su garantía a recurrir al crear una fase de admisibilidad de la casación penal que impedía la revisión de fondo de las causales recurridas por los procesados.</w:t>
      </w:r>
      <w:r w:rsidRPr="007E355E">
        <w:rPr>
          <w:rFonts w:ascii="Times New Roman" w:hAnsi="Times New Roman" w:cs="Times New Roman"/>
          <w:sz w:val="24"/>
          <w:szCs w:val="24"/>
        </w:rPr>
        <w:t xml:space="preserve"> </w:t>
      </w:r>
      <w:r w:rsidRPr="00AB2DB0">
        <w:rPr>
          <w:rFonts w:ascii="Times New Roman" w:hAnsi="Times New Roman" w:cs="Times New Roman"/>
          <w:sz w:val="24"/>
          <w:szCs w:val="24"/>
        </w:rPr>
        <w:t xml:space="preserve">Por tanto, este estudio busca profundizar en dicha omisión y reflexionar sobre la necesidad de asegurar mecanismos de impugnación respetuosos de los </w:t>
      </w:r>
      <w:r>
        <w:rPr>
          <w:rFonts w:ascii="Times New Roman" w:hAnsi="Times New Roman" w:cs="Times New Roman"/>
          <w:sz w:val="24"/>
          <w:szCs w:val="24"/>
        </w:rPr>
        <w:t xml:space="preserve">derechos de los procesados garantizando el </w:t>
      </w:r>
      <w:r w:rsidRPr="00AB2DB0">
        <w:rPr>
          <w:rFonts w:ascii="Times New Roman" w:hAnsi="Times New Roman" w:cs="Times New Roman"/>
          <w:sz w:val="24"/>
          <w:szCs w:val="24"/>
        </w:rPr>
        <w:t>acceso efectivo a la justicia penal</w:t>
      </w:r>
      <w:r>
        <w:rPr>
          <w:rFonts w:ascii="Times New Roman" w:hAnsi="Times New Roman" w:cs="Times New Roman"/>
          <w:sz w:val="24"/>
          <w:szCs w:val="24"/>
        </w:rPr>
        <w:t>.</w:t>
      </w:r>
    </w:p>
    <w:p w14:paraId="00302C4C" w14:textId="77777777" w:rsidR="007E355E" w:rsidRPr="0042766E" w:rsidRDefault="007E355E"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En ese sentido, como</w:t>
      </w:r>
      <w:r w:rsidRPr="0042766E">
        <w:rPr>
          <w:rFonts w:ascii="Times New Roman" w:hAnsi="Times New Roman" w:cs="Times New Roman"/>
          <w:sz w:val="24"/>
          <w:szCs w:val="24"/>
        </w:rPr>
        <w:t xml:space="preserve"> objetivos específicos de este estudio </w:t>
      </w:r>
      <w:r>
        <w:rPr>
          <w:rFonts w:ascii="Times New Roman" w:hAnsi="Times New Roman" w:cs="Times New Roman"/>
          <w:sz w:val="24"/>
          <w:szCs w:val="24"/>
        </w:rPr>
        <w:t>se analizarán</w:t>
      </w:r>
      <w:r w:rsidRPr="0042766E">
        <w:rPr>
          <w:rFonts w:ascii="Times New Roman" w:hAnsi="Times New Roman" w:cs="Times New Roman"/>
          <w:sz w:val="24"/>
          <w:szCs w:val="24"/>
        </w:rPr>
        <w:t xml:space="preserve"> </w:t>
      </w:r>
      <w:r>
        <w:rPr>
          <w:rFonts w:ascii="Times New Roman" w:hAnsi="Times New Roman" w:cs="Times New Roman"/>
          <w:sz w:val="24"/>
          <w:szCs w:val="24"/>
        </w:rPr>
        <w:t xml:space="preserve">la naturaleza jurídica del recurso de casación penal, </w:t>
      </w:r>
      <w:r w:rsidRPr="0042766E">
        <w:rPr>
          <w:rFonts w:ascii="Times New Roman" w:hAnsi="Times New Roman" w:cs="Times New Roman"/>
          <w:sz w:val="24"/>
          <w:szCs w:val="24"/>
        </w:rPr>
        <w:t>los efectos jurídicos de la Resolución</w:t>
      </w:r>
      <w:r>
        <w:rPr>
          <w:rFonts w:ascii="Times New Roman" w:hAnsi="Times New Roman" w:cs="Times New Roman"/>
          <w:sz w:val="24"/>
          <w:szCs w:val="24"/>
        </w:rPr>
        <w:t xml:space="preserve"> No.</w:t>
      </w:r>
      <w:r w:rsidRPr="0042766E">
        <w:rPr>
          <w:rFonts w:ascii="Times New Roman" w:hAnsi="Times New Roman" w:cs="Times New Roman"/>
          <w:sz w:val="24"/>
          <w:szCs w:val="24"/>
        </w:rPr>
        <w:t xml:space="preserve"> 10-2015 de la Corte Nacional de Justicia</w:t>
      </w:r>
      <w:r>
        <w:rPr>
          <w:rFonts w:ascii="Times New Roman" w:hAnsi="Times New Roman" w:cs="Times New Roman"/>
          <w:sz w:val="24"/>
          <w:szCs w:val="24"/>
        </w:rPr>
        <w:t xml:space="preserve"> y se a</w:t>
      </w:r>
      <w:r w:rsidRPr="0042766E">
        <w:rPr>
          <w:rFonts w:ascii="Times New Roman" w:hAnsi="Times New Roman" w:cs="Times New Roman"/>
          <w:sz w:val="24"/>
          <w:szCs w:val="24"/>
        </w:rPr>
        <w:t>nalizar</w:t>
      </w:r>
      <w:r>
        <w:rPr>
          <w:rFonts w:ascii="Times New Roman" w:hAnsi="Times New Roman" w:cs="Times New Roman"/>
          <w:sz w:val="24"/>
          <w:szCs w:val="24"/>
        </w:rPr>
        <w:t>á integralmente</w:t>
      </w:r>
      <w:r w:rsidRPr="0042766E">
        <w:rPr>
          <w:rFonts w:ascii="Times New Roman" w:hAnsi="Times New Roman" w:cs="Times New Roman"/>
          <w:sz w:val="24"/>
          <w:szCs w:val="24"/>
        </w:rPr>
        <w:t xml:space="preserve"> la sentencia No. 8-19-IN/21 respecto al estudio de fondo sobre la posible vulneración de los derechos al debido proceso y a la defensa, especialmente en relación con la garantía de recurrir</w:t>
      </w:r>
      <w:r>
        <w:rPr>
          <w:rFonts w:ascii="Times New Roman" w:hAnsi="Times New Roman" w:cs="Times New Roman"/>
          <w:sz w:val="24"/>
          <w:szCs w:val="24"/>
        </w:rPr>
        <w:t>.</w:t>
      </w:r>
    </w:p>
    <w:p w14:paraId="19322B80" w14:textId="056EA157" w:rsidR="007E355E" w:rsidRDefault="007E355E"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8E7AFA" w14:textId="41358BEC" w:rsidR="00205673" w:rsidRPr="00DD7226" w:rsidRDefault="007E355E" w:rsidP="00B21A77">
      <w:pPr>
        <w:spacing w:line="360" w:lineRule="auto"/>
        <w:jc w:val="both"/>
        <w:rPr>
          <w:rFonts w:ascii="Times New Roman" w:hAnsi="Times New Roman" w:cs="Times New Roman"/>
          <w:sz w:val="24"/>
          <w:szCs w:val="24"/>
        </w:rPr>
      </w:pPr>
      <w:r w:rsidRPr="00DD7226">
        <w:rPr>
          <w:rFonts w:ascii="Times New Roman" w:hAnsi="Times New Roman" w:cs="Times New Roman"/>
          <w:sz w:val="24"/>
          <w:szCs w:val="24"/>
        </w:rPr>
        <w:t>El estudio adoptó un enfoque cualitativo con diversos métodos</w:t>
      </w:r>
      <w:r w:rsidR="0086616D" w:rsidRPr="0086616D">
        <w:rPr>
          <w:rFonts w:ascii="Times New Roman" w:eastAsia="Times New Roman" w:hAnsi="Times New Roman" w:cs="Times New Roman"/>
          <w:color w:val="000000"/>
          <w:sz w:val="24"/>
          <w:szCs w:val="24"/>
          <w:lang w:val="es-ES"/>
        </w:rPr>
        <w:t xml:space="preserve"> </w:t>
      </w:r>
      <w:r w:rsidR="0086616D" w:rsidRPr="006A5283">
        <w:rPr>
          <w:rFonts w:ascii="Times New Roman" w:eastAsia="Times New Roman" w:hAnsi="Times New Roman" w:cs="Times New Roman"/>
          <w:color w:val="000000"/>
          <w:sz w:val="24"/>
          <w:szCs w:val="24"/>
          <w:lang w:val="es-ES"/>
        </w:rPr>
        <w:t>bibliográfico,</w:t>
      </w:r>
      <w:r w:rsidR="0086616D">
        <w:rPr>
          <w:rFonts w:ascii="Times New Roman" w:eastAsia="Times New Roman" w:hAnsi="Times New Roman" w:cs="Times New Roman"/>
          <w:color w:val="000000"/>
          <w:sz w:val="24"/>
          <w:szCs w:val="24"/>
          <w:lang w:val="es-ES"/>
        </w:rPr>
        <w:t xml:space="preserve"> analítico,</w:t>
      </w:r>
      <w:r w:rsidR="0086616D" w:rsidRPr="006A5283">
        <w:rPr>
          <w:rFonts w:ascii="Times New Roman" w:eastAsia="Times New Roman" w:hAnsi="Times New Roman" w:cs="Times New Roman"/>
          <w:color w:val="000000"/>
          <w:sz w:val="24"/>
          <w:szCs w:val="24"/>
          <w:lang w:val="es-ES"/>
        </w:rPr>
        <w:t xml:space="preserve"> histórico-lógico</w:t>
      </w:r>
      <w:r w:rsidR="0086616D">
        <w:rPr>
          <w:rFonts w:ascii="Times New Roman" w:eastAsia="Times New Roman" w:hAnsi="Times New Roman" w:cs="Times New Roman"/>
          <w:color w:val="000000"/>
          <w:sz w:val="24"/>
          <w:szCs w:val="24"/>
          <w:lang w:val="es-ES"/>
        </w:rPr>
        <w:t xml:space="preserve">, exegético </w:t>
      </w:r>
      <w:r w:rsidR="00CA08D6">
        <w:rPr>
          <w:rFonts w:ascii="Times New Roman" w:eastAsia="Times New Roman" w:hAnsi="Times New Roman" w:cs="Times New Roman"/>
          <w:color w:val="000000"/>
          <w:sz w:val="24"/>
          <w:szCs w:val="24"/>
          <w:lang w:val="es-ES"/>
        </w:rPr>
        <w:t>e</w:t>
      </w:r>
      <w:r w:rsidR="0086616D">
        <w:rPr>
          <w:rFonts w:ascii="Times New Roman" w:eastAsia="Times New Roman" w:hAnsi="Times New Roman" w:cs="Times New Roman"/>
          <w:color w:val="000000"/>
          <w:sz w:val="24"/>
          <w:szCs w:val="24"/>
          <w:lang w:val="es-ES"/>
        </w:rPr>
        <w:t xml:space="preserve"> inductivo</w:t>
      </w:r>
      <w:r w:rsidRPr="00DD7226">
        <w:rPr>
          <w:rFonts w:ascii="Times New Roman" w:hAnsi="Times New Roman" w:cs="Times New Roman"/>
          <w:sz w:val="24"/>
          <w:szCs w:val="24"/>
        </w:rPr>
        <w:t xml:space="preserve"> para obtener una comprensión integral del fenómeno. Los hallazgos revelaron la vulneración </w:t>
      </w:r>
      <w:r w:rsidR="008F7798">
        <w:rPr>
          <w:rFonts w:ascii="Times New Roman" w:hAnsi="Times New Roman" w:cs="Times New Roman"/>
          <w:sz w:val="24"/>
          <w:szCs w:val="24"/>
        </w:rPr>
        <w:t>al debido proceso y al</w:t>
      </w:r>
      <w:r w:rsidRPr="00DD7226">
        <w:rPr>
          <w:rFonts w:ascii="Times New Roman" w:hAnsi="Times New Roman" w:cs="Times New Roman"/>
          <w:sz w:val="24"/>
          <w:szCs w:val="24"/>
        </w:rPr>
        <w:t xml:space="preserve"> derecho a la defensa</w:t>
      </w:r>
      <w:r w:rsidR="008F7798">
        <w:rPr>
          <w:rFonts w:ascii="Times New Roman" w:hAnsi="Times New Roman" w:cs="Times New Roman"/>
          <w:sz w:val="24"/>
          <w:szCs w:val="24"/>
        </w:rPr>
        <w:t xml:space="preserve"> en su garantía a recurrir</w:t>
      </w:r>
      <w:r w:rsidRPr="00DD7226">
        <w:rPr>
          <w:rFonts w:ascii="Times New Roman" w:hAnsi="Times New Roman" w:cs="Times New Roman"/>
          <w:sz w:val="24"/>
          <w:szCs w:val="24"/>
        </w:rPr>
        <w:t>. A partir de esto, se considera que es importante que la Corte Constitucional haya declarado inconstitucional p</w:t>
      </w:r>
      <w:r w:rsidR="006F492C">
        <w:rPr>
          <w:rFonts w:ascii="Times New Roman" w:hAnsi="Times New Roman" w:cs="Times New Roman"/>
          <w:sz w:val="24"/>
          <w:szCs w:val="24"/>
        </w:rPr>
        <w:t>or la forma a la Resolución No.</w:t>
      </w:r>
      <w:r w:rsidRPr="00DD7226">
        <w:rPr>
          <w:rFonts w:ascii="Times New Roman" w:hAnsi="Times New Roman" w:cs="Times New Roman"/>
          <w:sz w:val="24"/>
          <w:szCs w:val="24"/>
        </w:rPr>
        <w:t>10-2015, expedida por la Corte Nacional de Justicia</w:t>
      </w:r>
      <w:r w:rsidR="00205673">
        <w:rPr>
          <w:rFonts w:ascii="Times New Roman" w:hAnsi="Times New Roman" w:cs="Times New Roman"/>
          <w:sz w:val="24"/>
          <w:szCs w:val="24"/>
        </w:rPr>
        <w:t>,</w:t>
      </w:r>
      <w:r w:rsidR="00205673" w:rsidRPr="00205673">
        <w:rPr>
          <w:rFonts w:ascii="Times New Roman" w:hAnsi="Times New Roman" w:cs="Times New Roman"/>
          <w:sz w:val="24"/>
          <w:szCs w:val="24"/>
        </w:rPr>
        <w:t xml:space="preserve"> </w:t>
      </w:r>
      <w:r w:rsidR="00205673" w:rsidRPr="00DD7226">
        <w:rPr>
          <w:rFonts w:ascii="Times New Roman" w:hAnsi="Times New Roman" w:cs="Times New Roman"/>
          <w:sz w:val="24"/>
          <w:szCs w:val="24"/>
        </w:rPr>
        <w:t>sin embargo, es importante realizar un análisis crítico-jurídico por el fondo de esta, a fin de garantizar la protección de los principios constitucionales.</w:t>
      </w:r>
      <w:r w:rsidR="00205673">
        <w:rPr>
          <w:rFonts w:ascii="Times New Roman" w:hAnsi="Times New Roman" w:cs="Times New Roman"/>
          <w:sz w:val="24"/>
          <w:szCs w:val="24"/>
        </w:rPr>
        <w:t xml:space="preserve"> </w:t>
      </w:r>
    </w:p>
    <w:p w14:paraId="21BC4F5D" w14:textId="40A5004C" w:rsidR="000C0AC5" w:rsidRDefault="005E3BC9" w:rsidP="00B21A77">
      <w:pPr>
        <w:spacing w:line="360" w:lineRule="auto"/>
        <w:jc w:val="center"/>
        <w:rPr>
          <w:rFonts w:ascii="Times New Roman" w:eastAsia="Times New Roman" w:hAnsi="Times New Roman" w:cs="Times New Roman"/>
          <w:b/>
          <w:bCs/>
          <w:sz w:val="28"/>
          <w:szCs w:val="28"/>
          <w:lang w:eastAsia="es-EC"/>
        </w:rPr>
      </w:pPr>
      <w:r>
        <w:rPr>
          <w:rFonts w:ascii="Times New Roman" w:eastAsia="Times New Roman" w:hAnsi="Times New Roman" w:cs="Times New Roman"/>
          <w:b/>
          <w:bCs/>
          <w:sz w:val="28"/>
          <w:szCs w:val="28"/>
          <w:lang w:eastAsia="es-EC"/>
        </w:rPr>
        <w:t>M</w:t>
      </w:r>
      <w:r w:rsidRPr="005E3BC9">
        <w:rPr>
          <w:rFonts w:ascii="Times New Roman" w:eastAsia="Times New Roman" w:hAnsi="Times New Roman" w:cs="Times New Roman"/>
          <w:b/>
          <w:bCs/>
          <w:sz w:val="28"/>
          <w:szCs w:val="28"/>
          <w:lang w:eastAsia="es-EC"/>
        </w:rPr>
        <w:t>aterial y métodos</w:t>
      </w:r>
    </w:p>
    <w:p w14:paraId="6DE4854A" w14:textId="35E8282D" w:rsidR="00205673" w:rsidRPr="006A5283" w:rsidRDefault="00205673" w:rsidP="00B21A77">
      <w:pPr>
        <w:spacing w:line="360" w:lineRule="auto"/>
        <w:jc w:val="both"/>
        <w:rPr>
          <w:rFonts w:ascii="Times New Roman" w:eastAsia="Times New Roman" w:hAnsi="Times New Roman" w:cs="Times New Roman"/>
          <w:color w:val="000000"/>
          <w:sz w:val="24"/>
          <w:szCs w:val="24"/>
          <w:lang w:val="es-ES"/>
        </w:rPr>
      </w:pPr>
      <w:r w:rsidRPr="006A5283">
        <w:rPr>
          <w:rFonts w:ascii="Times New Roman" w:eastAsia="Times New Roman" w:hAnsi="Times New Roman" w:cs="Times New Roman"/>
          <w:color w:val="000000"/>
          <w:sz w:val="24"/>
          <w:szCs w:val="24"/>
          <w:lang w:val="es-ES"/>
        </w:rPr>
        <w:t>En el marco de la investigación sobre</w:t>
      </w:r>
      <w:r>
        <w:rPr>
          <w:rFonts w:ascii="Times New Roman" w:eastAsia="Times New Roman" w:hAnsi="Times New Roman" w:cs="Times New Roman"/>
          <w:color w:val="000000"/>
          <w:sz w:val="24"/>
          <w:szCs w:val="24"/>
          <w:lang w:val="es-ES"/>
        </w:rPr>
        <w:t xml:space="preserve"> el debido proceso y</w:t>
      </w:r>
      <w:r w:rsidRPr="006A5283">
        <w:rPr>
          <w:rFonts w:ascii="Times New Roman" w:eastAsia="Times New Roman" w:hAnsi="Times New Roman" w:cs="Times New Roman"/>
          <w:color w:val="000000"/>
          <w:sz w:val="24"/>
          <w:szCs w:val="24"/>
          <w:lang w:val="es-ES"/>
        </w:rPr>
        <w:t xml:space="preserve"> </w:t>
      </w:r>
      <w:r w:rsidRPr="00DD7226">
        <w:rPr>
          <w:rFonts w:ascii="Times New Roman" w:hAnsi="Times New Roman" w:cs="Times New Roman"/>
          <w:sz w:val="24"/>
          <w:szCs w:val="24"/>
        </w:rPr>
        <w:t xml:space="preserve">derecho </w:t>
      </w:r>
      <w:r>
        <w:rPr>
          <w:rFonts w:ascii="Times New Roman" w:hAnsi="Times New Roman" w:cs="Times New Roman"/>
          <w:sz w:val="24"/>
          <w:szCs w:val="24"/>
        </w:rPr>
        <w:t xml:space="preserve">a la defensa </w:t>
      </w:r>
      <w:r w:rsidR="00624C7C" w:rsidRPr="00B44798">
        <w:rPr>
          <w:rFonts w:ascii="Times New Roman" w:hAnsi="Times New Roman" w:cs="Times New Roman"/>
          <w:sz w:val="24"/>
          <w:szCs w:val="24"/>
        </w:rPr>
        <w:t xml:space="preserve">en la garantía de recurrir </w:t>
      </w:r>
      <w:r w:rsidRPr="006A5283">
        <w:rPr>
          <w:rFonts w:ascii="Times New Roman" w:hAnsi="Times New Roman" w:cs="Times New Roman"/>
          <w:sz w:val="24"/>
          <w:szCs w:val="24"/>
          <w:lang w:val="es-ES"/>
        </w:rPr>
        <w:t>en la</w:t>
      </w:r>
      <w:r w:rsidRPr="006A5283">
        <w:rPr>
          <w:rFonts w:ascii="Times New Roman" w:hAnsi="Times New Roman" w:cs="Times New Roman"/>
          <w:sz w:val="24"/>
          <w:szCs w:val="24"/>
        </w:rPr>
        <w:t xml:space="preserve"> fase de admisibilidad del recurso de casación penal, creada mediante </w:t>
      </w:r>
      <w:r>
        <w:rPr>
          <w:rFonts w:ascii="Times New Roman" w:hAnsi="Times New Roman" w:cs="Times New Roman"/>
          <w:sz w:val="24"/>
          <w:szCs w:val="24"/>
        </w:rPr>
        <w:t>R</w:t>
      </w:r>
      <w:r w:rsidRPr="006A5283">
        <w:rPr>
          <w:rFonts w:ascii="Times New Roman" w:hAnsi="Times New Roman" w:cs="Times New Roman"/>
          <w:sz w:val="24"/>
          <w:szCs w:val="24"/>
        </w:rPr>
        <w:t>esolución</w:t>
      </w:r>
      <w:r w:rsidR="006F492C">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6A5283">
        <w:rPr>
          <w:rFonts w:ascii="Times New Roman" w:hAnsi="Times New Roman" w:cs="Times New Roman"/>
          <w:sz w:val="24"/>
          <w:szCs w:val="24"/>
        </w:rPr>
        <w:t>10-2015</w:t>
      </w:r>
      <w:r w:rsidR="0086616D">
        <w:rPr>
          <w:rFonts w:ascii="Times New Roman" w:hAnsi="Times New Roman" w:cs="Times New Roman"/>
          <w:sz w:val="24"/>
          <w:szCs w:val="24"/>
        </w:rPr>
        <w:t xml:space="preserve"> por</w:t>
      </w:r>
      <w:r w:rsidRPr="006A5283">
        <w:rPr>
          <w:rFonts w:ascii="Times New Roman" w:hAnsi="Times New Roman" w:cs="Times New Roman"/>
          <w:sz w:val="24"/>
          <w:szCs w:val="24"/>
        </w:rPr>
        <w:t xml:space="preserve"> la Corte Nacional de Justicia, </w:t>
      </w:r>
      <w:r w:rsidRPr="006A5283">
        <w:rPr>
          <w:rFonts w:ascii="Times New Roman" w:eastAsia="Times New Roman" w:hAnsi="Times New Roman" w:cs="Times New Roman"/>
          <w:color w:val="000000"/>
          <w:sz w:val="24"/>
          <w:szCs w:val="24"/>
          <w:lang w:val="es-ES"/>
        </w:rPr>
        <w:t>se adoptó   un   enfoque   metodológico</w:t>
      </w:r>
      <w:r w:rsidR="0086616D">
        <w:rPr>
          <w:rFonts w:ascii="Times New Roman" w:eastAsia="Times New Roman" w:hAnsi="Times New Roman" w:cs="Times New Roman"/>
          <w:color w:val="000000"/>
          <w:sz w:val="24"/>
          <w:szCs w:val="24"/>
          <w:lang w:val="es-ES"/>
        </w:rPr>
        <w:t xml:space="preserve"> </w:t>
      </w:r>
      <w:r w:rsidRPr="006A5283">
        <w:rPr>
          <w:rFonts w:ascii="Times New Roman" w:eastAsia="Times New Roman" w:hAnsi="Times New Roman" w:cs="Times New Roman"/>
          <w:color w:val="000000"/>
          <w:sz w:val="24"/>
          <w:szCs w:val="24"/>
          <w:lang w:val="es-ES"/>
        </w:rPr>
        <w:t>cualitativo</w:t>
      </w:r>
      <w:r>
        <w:rPr>
          <w:rFonts w:ascii="Times New Roman" w:eastAsia="Times New Roman" w:hAnsi="Times New Roman" w:cs="Times New Roman"/>
          <w:color w:val="000000"/>
          <w:sz w:val="24"/>
          <w:szCs w:val="24"/>
          <w:lang w:val="es-ES"/>
        </w:rPr>
        <w:t xml:space="preserve"> de alcance exploratorio-descriptivo, lo cual permitió una comprensión profunda y análisis crítico de las implicaciones jurídicas de dicha resolución en los derechos de los procesados</w:t>
      </w:r>
      <w:r w:rsidRPr="006A5283">
        <w:rPr>
          <w:rFonts w:ascii="Times New Roman" w:eastAsia="Times New Roman" w:hAnsi="Times New Roman" w:cs="Times New Roman"/>
          <w:color w:val="000000"/>
          <w:sz w:val="24"/>
          <w:szCs w:val="24"/>
          <w:lang w:val="es-ES"/>
        </w:rPr>
        <w:t>.</w:t>
      </w:r>
    </w:p>
    <w:p w14:paraId="01E277AD" w14:textId="1E24ACAA" w:rsidR="00224D0E" w:rsidRPr="006A5283" w:rsidRDefault="00224D0E" w:rsidP="00B21A77">
      <w:pPr>
        <w:shd w:val="clear" w:color="auto" w:fill="FFFFFF"/>
        <w:spacing w:line="360" w:lineRule="auto"/>
        <w:jc w:val="both"/>
        <w:rPr>
          <w:rFonts w:ascii="Times New Roman" w:eastAsia="Times New Roman" w:hAnsi="Times New Roman" w:cs="Times New Roman"/>
          <w:color w:val="000000"/>
          <w:sz w:val="24"/>
          <w:szCs w:val="24"/>
          <w:lang w:val="es-ES"/>
        </w:rPr>
      </w:pPr>
      <w:r w:rsidRPr="006A5283">
        <w:rPr>
          <w:rFonts w:ascii="Times New Roman" w:eastAsia="Times New Roman" w:hAnsi="Times New Roman" w:cs="Times New Roman"/>
          <w:color w:val="000000"/>
          <w:sz w:val="24"/>
          <w:szCs w:val="24"/>
          <w:lang w:val="es-ES"/>
        </w:rPr>
        <w:t xml:space="preserve">El análisis se fundamentó </w:t>
      </w:r>
      <w:r w:rsidR="00D53E0B">
        <w:rPr>
          <w:rFonts w:ascii="Times New Roman" w:eastAsia="Times New Roman" w:hAnsi="Times New Roman" w:cs="Times New Roman"/>
          <w:color w:val="000000"/>
          <w:sz w:val="24"/>
          <w:szCs w:val="24"/>
          <w:lang w:val="es-ES"/>
        </w:rPr>
        <w:t xml:space="preserve">en </w:t>
      </w:r>
      <w:r w:rsidRPr="006A5283">
        <w:rPr>
          <w:rFonts w:ascii="Times New Roman" w:eastAsia="Times New Roman" w:hAnsi="Times New Roman" w:cs="Times New Roman"/>
          <w:color w:val="000000"/>
          <w:sz w:val="24"/>
          <w:szCs w:val="24"/>
          <w:lang w:val="es-ES"/>
        </w:rPr>
        <w:t>métodos bibliográfico,</w:t>
      </w:r>
      <w:r w:rsidR="00D53E0B">
        <w:rPr>
          <w:rFonts w:ascii="Times New Roman" w:eastAsia="Times New Roman" w:hAnsi="Times New Roman" w:cs="Times New Roman"/>
          <w:color w:val="000000"/>
          <w:sz w:val="24"/>
          <w:szCs w:val="24"/>
          <w:lang w:val="es-ES"/>
        </w:rPr>
        <w:t xml:space="preserve"> analítico,</w:t>
      </w:r>
      <w:r w:rsidRPr="006A5283">
        <w:rPr>
          <w:rFonts w:ascii="Times New Roman" w:eastAsia="Times New Roman" w:hAnsi="Times New Roman" w:cs="Times New Roman"/>
          <w:color w:val="000000"/>
          <w:sz w:val="24"/>
          <w:szCs w:val="24"/>
          <w:lang w:val="es-ES"/>
        </w:rPr>
        <w:t xml:space="preserve"> histórico-lógico, que permitió comprender mediante un estudio minucioso del</w:t>
      </w:r>
      <w:r w:rsidRPr="006A5283">
        <w:rPr>
          <w:rFonts w:ascii="Times New Roman" w:hAnsi="Times New Roman" w:cs="Times New Roman"/>
          <w:sz w:val="24"/>
          <w:szCs w:val="24"/>
          <w:lang w:val="es-ES"/>
        </w:rPr>
        <w:t xml:space="preserve"> derecho a la defensa en la</w:t>
      </w:r>
      <w:r w:rsidRPr="006A5283">
        <w:rPr>
          <w:rFonts w:ascii="Times New Roman" w:hAnsi="Times New Roman" w:cs="Times New Roman"/>
          <w:sz w:val="24"/>
          <w:szCs w:val="24"/>
        </w:rPr>
        <w:t xml:space="preserve"> fase de admisibilidad del recurso de casación penal, creada mediante </w:t>
      </w:r>
      <w:r w:rsidR="00624C7C">
        <w:rPr>
          <w:rFonts w:ascii="Times New Roman" w:hAnsi="Times New Roman" w:cs="Times New Roman"/>
          <w:sz w:val="24"/>
          <w:szCs w:val="24"/>
        </w:rPr>
        <w:t>R</w:t>
      </w:r>
      <w:r w:rsidRPr="006A5283">
        <w:rPr>
          <w:rFonts w:ascii="Times New Roman" w:hAnsi="Times New Roman" w:cs="Times New Roman"/>
          <w:sz w:val="24"/>
          <w:szCs w:val="24"/>
        </w:rPr>
        <w:t xml:space="preserve">esolución </w:t>
      </w:r>
      <w:r w:rsidR="00D53E0B">
        <w:rPr>
          <w:rFonts w:ascii="Times New Roman" w:hAnsi="Times New Roman" w:cs="Times New Roman"/>
          <w:sz w:val="24"/>
          <w:szCs w:val="24"/>
        </w:rPr>
        <w:t xml:space="preserve">No. </w:t>
      </w:r>
      <w:r w:rsidRPr="006A5283">
        <w:rPr>
          <w:rFonts w:ascii="Times New Roman" w:hAnsi="Times New Roman" w:cs="Times New Roman"/>
          <w:sz w:val="24"/>
          <w:szCs w:val="24"/>
        </w:rPr>
        <w:t xml:space="preserve">10-2015 por la Corte Nacional de Justicia y que la Corte Constitucional la declara inconstitucional únicamente por el fondo, más no por la forma. </w:t>
      </w:r>
      <w:r w:rsidRPr="006A5283">
        <w:rPr>
          <w:rFonts w:ascii="Times New Roman" w:eastAsia="Times New Roman" w:hAnsi="Times New Roman" w:cs="Times New Roman"/>
          <w:color w:val="000000"/>
          <w:sz w:val="24"/>
          <w:szCs w:val="24"/>
          <w:lang w:val="es-ES"/>
        </w:rPr>
        <w:t xml:space="preserve">De manera complementaria, se aplicó el método exegético para interpretar la normativa relevante, como la Constitución de la República del Ecuador y el Código Orgánico Integral Penal.  </w:t>
      </w:r>
    </w:p>
    <w:p w14:paraId="2AA2A449" w14:textId="27A7E0AC" w:rsidR="00224D0E" w:rsidRPr="006A5283" w:rsidRDefault="00224D0E" w:rsidP="00B21A77">
      <w:pPr>
        <w:shd w:val="clear" w:color="auto" w:fill="FFFFFF"/>
        <w:spacing w:line="360" w:lineRule="auto"/>
        <w:jc w:val="both"/>
        <w:rPr>
          <w:rFonts w:ascii="Times New Roman" w:eastAsia="Times New Roman" w:hAnsi="Times New Roman" w:cs="Times New Roman"/>
          <w:color w:val="000000"/>
          <w:sz w:val="24"/>
          <w:szCs w:val="24"/>
          <w:lang w:val="es-ES"/>
        </w:rPr>
      </w:pPr>
      <w:r w:rsidRPr="006A5283">
        <w:rPr>
          <w:rFonts w:ascii="Times New Roman" w:eastAsia="Times New Roman" w:hAnsi="Times New Roman" w:cs="Times New Roman"/>
          <w:color w:val="000000"/>
          <w:sz w:val="24"/>
          <w:szCs w:val="24"/>
          <w:lang w:val="es-ES"/>
        </w:rPr>
        <w:t>A través del método inductivo, se identifica en la sentencia</w:t>
      </w:r>
      <w:r w:rsidR="006F492C">
        <w:rPr>
          <w:rFonts w:ascii="Times New Roman" w:eastAsia="Times New Roman" w:hAnsi="Times New Roman" w:cs="Times New Roman"/>
          <w:color w:val="000000"/>
          <w:sz w:val="24"/>
          <w:szCs w:val="24"/>
          <w:lang w:val="es-ES"/>
        </w:rPr>
        <w:t xml:space="preserve"> No.</w:t>
      </w:r>
      <w:r w:rsidRPr="006A5283">
        <w:rPr>
          <w:rFonts w:ascii="Times New Roman" w:eastAsia="Times New Roman" w:hAnsi="Times New Roman" w:cs="Times New Roman"/>
          <w:color w:val="000000"/>
          <w:sz w:val="24"/>
          <w:szCs w:val="24"/>
          <w:lang w:val="es-ES"/>
        </w:rPr>
        <w:t xml:space="preserve"> </w:t>
      </w:r>
      <w:r w:rsidRPr="006A5283">
        <w:rPr>
          <w:rFonts w:ascii="Times New Roman" w:hAnsi="Times New Roman" w:cs="Times New Roman"/>
          <w:sz w:val="24"/>
          <w:szCs w:val="24"/>
        </w:rPr>
        <w:t xml:space="preserve">8-19-IN/2021 </w:t>
      </w:r>
      <w:r w:rsidRPr="006A5283">
        <w:rPr>
          <w:rFonts w:ascii="Times New Roman" w:eastAsia="Times New Roman" w:hAnsi="Times New Roman" w:cs="Times New Roman"/>
          <w:color w:val="000000"/>
          <w:sz w:val="24"/>
          <w:szCs w:val="24"/>
          <w:lang w:val="es-ES"/>
        </w:rPr>
        <w:t xml:space="preserve">analizada, violación del derecho a la defensa de las personas que recurrían.  Esto permitió analizar cómo </w:t>
      </w:r>
      <w:r w:rsidR="006F492C">
        <w:rPr>
          <w:rFonts w:ascii="Times New Roman" w:eastAsia="Times New Roman" w:hAnsi="Times New Roman" w:cs="Times New Roman"/>
          <w:color w:val="000000"/>
          <w:sz w:val="24"/>
          <w:szCs w:val="24"/>
          <w:lang w:val="es-ES"/>
        </w:rPr>
        <w:t>la R</w:t>
      </w:r>
      <w:r w:rsidRPr="006A5283">
        <w:rPr>
          <w:rFonts w:ascii="Times New Roman" w:eastAsia="Times New Roman" w:hAnsi="Times New Roman" w:cs="Times New Roman"/>
          <w:color w:val="000000"/>
          <w:sz w:val="24"/>
          <w:szCs w:val="24"/>
          <w:lang w:val="es-ES"/>
        </w:rPr>
        <w:t>esolución</w:t>
      </w:r>
      <w:r w:rsidR="006F492C">
        <w:rPr>
          <w:rFonts w:ascii="Times New Roman" w:eastAsia="Times New Roman" w:hAnsi="Times New Roman" w:cs="Times New Roman"/>
          <w:color w:val="000000"/>
          <w:sz w:val="24"/>
          <w:szCs w:val="24"/>
          <w:lang w:val="es-ES"/>
        </w:rPr>
        <w:t xml:space="preserve"> No.</w:t>
      </w:r>
      <w:r w:rsidRPr="006A5283">
        <w:rPr>
          <w:rFonts w:ascii="Times New Roman" w:eastAsia="Times New Roman" w:hAnsi="Times New Roman" w:cs="Times New Roman"/>
          <w:color w:val="000000"/>
          <w:sz w:val="24"/>
          <w:szCs w:val="24"/>
          <w:lang w:val="es-ES"/>
        </w:rPr>
        <w:t xml:space="preserve"> 10-2015 afectaba en la garantía de los derechos de los recurrentes en el sistema judicial ecuatoriano. </w:t>
      </w:r>
    </w:p>
    <w:p w14:paraId="5EB9382F" w14:textId="56F7A7DE" w:rsidR="00224D0E" w:rsidRPr="006A5283" w:rsidRDefault="00224D0E" w:rsidP="00B21A77">
      <w:pPr>
        <w:shd w:val="clear" w:color="auto" w:fill="FFFFFF"/>
        <w:spacing w:line="360" w:lineRule="auto"/>
        <w:jc w:val="both"/>
        <w:rPr>
          <w:rFonts w:ascii="Times New Roman" w:eastAsia="Times New Roman" w:hAnsi="Times New Roman" w:cs="Times New Roman"/>
          <w:color w:val="000000"/>
          <w:sz w:val="24"/>
          <w:szCs w:val="24"/>
          <w:lang w:val="es-ES"/>
        </w:rPr>
      </w:pPr>
      <w:r w:rsidRPr="006A5283">
        <w:rPr>
          <w:rFonts w:ascii="Times New Roman" w:eastAsia="Times New Roman" w:hAnsi="Times New Roman" w:cs="Times New Roman"/>
          <w:color w:val="000000"/>
          <w:sz w:val="24"/>
          <w:szCs w:val="24"/>
          <w:lang w:val="es-ES"/>
        </w:rPr>
        <w:t xml:space="preserve">Para el desarrollo del presente trabajo investigativo, se   incorporó   una    revisión    exhaustiva    de    fuentes    como    artículos científicos, jurisprudencia y doctrina especializada. Las fuentes fueron seleccionadas de   bases   de   datos   académicas   reconocidas, site. </w:t>
      </w:r>
      <w:proofErr w:type="spellStart"/>
      <w:r w:rsidRPr="006A5283">
        <w:rPr>
          <w:rFonts w:ascii="Times New Roman" w:eastAsia="Times New Roman" w:hAnsi="Times New Roman" w:cs="Times New Roman"/>
          <w:color w:val="000000"/>
          <w:sz w:val="24"/>
          <w:szCs w:val="24"/>
          <w:lang w:val="es-ES"/>
        </w:rPr>
        <w:t>scielo</w:t>
      </w:r>
      <w:proofErr w:type="spellEnd"/>
      <w:r w:rsidRPr="006A5283">
        <w:rPr>
          <w:rFonts w:ascii="Times New Roman" w:eastAsia="Times New Roman" w:hAnsi="Times New Roman" w:cs="Times New Roman"/>
          <w:color w:val="000000"/>
          <w:sz w:val="24"/>
          <w:szCs w:val="24"/>
          <w:lang w:val="es-ES"/>
        </w:rPr>
        <w:t xml:space="preserve">, </w:t>
      </w:r>
      <w:proofErr w:type="spellStart"/>
      <w:r w:rsidRPr="006A5283">
        <w:rPr>
          <w:rFonts w:ascii="Times New Roman" w:eastAsia="Times New Roman" w:hAnsi="Times New Roman" w:cs="Times New Roman"/>
          <w:color w:val="000000"/>
          <w:sz w:val="24"/>
          <w:szCs w:val="24"/>
          <w:lang w:val="es-ES"/>
        </w:rPr>
        <w:t>Scopus</w:t>
      </w:r>
      <w:proofErr w:type="spellEnd"/>
      <w:r w:rsidRPr="006A5283">
        <w:rPr>
          <w:rFonts w:ascii="Times New Roman" w:eastAsia="Times New Roman" w:hAnsi="Times New Roman" w:cs="Times New Roman"/>
          <w:color w:val="000000"/>
          <w:sz w:val="24"/>
          <w:szCs w:val="24"/>
          <w:lang w:val="es-ES"/>
        </w:rPr>
        <w:t xml:space="preserve"> , Redalyc, Dialnet y  Google  </w:t>
      </w:r>
      <w:proofErr w:type="spellStart"/>
      <w:r w:rsidRPr="006A5283">
        <w:rPr>
          <w:rFonts w:ascii="Times New Roman" w:eastAsia="Times New Roman" w:hAnsi="Times New Roman" w:cs="Times New Roman"/>
          <w:color w:val="000000"/>
          <w:sz w:val="24"/>
          <w:szCs w:val="24"/>
          <w:lang w:val="es-ES"/>
        </w:rPr>
        <w:t>Scholar</w:t>
      </w:r>
      <w:proofErr w:type="spellEnd"/>
      <w:r w:rsidRPr="006A5283">
        <w:rPr>
          <w:rFonts w:ascii="Times New Roman" w:eastAsia="Times New Roman" w:hAnsi="Times New Roman" w:cs="Times New Roman"/>
          <w:color w:val="000000"/>
          <w:sz w:val="24"/>
          <w:szCs w:val="24"/>
          <w:lang w:val="es-ES"/>
        </w:rPr>
        <w:t xml:space="preserve">,  dando prioridad  a las  publicaciones de  los  últimos  cinco  años  para  garantizar la  vigencia y relevancia de la información. Se analizaron artículos científicos relacionados al tema </w:t>
      </w:r>
      <w:r w:rsidRPr="006A5283">
        <w:rPr>
          <w:rFonts w:ascii="Times New Roman" w:hAnsi="Times New Roman" w:cs="Times New Roman"/>
          <w:sz w:val="24"/>
          <w:szCs w:val="24"/>
        </w:rPr>
        <w:t xml:space="preserve">la tutela judicial y efectiva, en la inadmisibilidad </w:t>
      </w:r>
      <w:r w:rsidR="00B9258B">
        <w:rPr>
          <w:rFonts w:ascii="Times New Roman" w:hAnsi="Times New Roman" w:cs="Times New Roman"/>
          <w:sz w:val="24"/>
          <w:szCs w:val="24"/>
        </w:rPr>
        <w:t>del recurso de c</w:t>
      </w:r>
      <w:r w:rsidR="00D53E0B">
        <w:rPr>
          <w:rFonts w:ascii="Times New Roman" w:hAnsi="Times New Roman" w:cs="Times New Roman"/>
          <w:sz w:val="24"/>
          <w:szCs w:val="24"/>
        </w:rPr>
        <w:t>asación penal.</w:t>
      </w:r>
    </w:p>
    <w:p w14:paraId="22172A33" w14:textId="212D9D5D" w:rsidR="001707E6" w:rsidRDefault="005E3BC9" w:rsidP="00B21A77">
      <w:pPr>
        <w:spacing w:line="360" w:lineRule="auto"/>
        <w:jc w:val="center"/>
        <w:rPr>
          <w:rFonts w:ascii="Times New Roman" w:eastAsia="Times New Roman" w:hAnsi="Times New Roman" w:cs="Times New Roman"/>
          <w:b/>
          <w:bCs/>
          <w:sz w:val="28"/>
          <w:szCs w:val="28"/>
          <w:lang w:eastAsia="es-EC"/>
        </w:rPr>
      </w:pPr>
      <w:r>
        <w:rPr>
          <w:rFonts w:ascii="Times New Roman" w:eastAsia="Times New Roman" w:hAnsi="Times New Roman" w:cs="Times New Roman"/>
          <w:b/>
          <w:bCs/>
          <w:sz w:val="28"/>
          <w:szCs w:val="28"/>
          <w:lang w:eastAsia="es-EC"/>
        </w:rPr>
        <w:t>R</w:t>
      </w:r>
      <w:r w:rsidRPr="005E3BC9">
        <w:rPr>
          <w:rFonts w:ascii="Times New Roman" w:eastAsia="Times New Roman" w:hAnsi="Times New Roman" w:cs="Times New Roman"/>
          <w:b/>
          <w:bCs/>
          <w:sz w:val="28"/>
          <w:szCs w:val="28"/>
          <w:lang w:eastAsia="es-EC"/>
        </w:rPr>
        <w:t>esultados</w:t>
      </w:r>
      <w:r w:rsidR="00403915">
        <w:rPr>
          <w:rFonts w:ascii="Times New Roman" w:eastAsia="Times New Roman" w:hAnsi="Times New Roman" w:cs="Times New Roman"/>
          <w:b/>
          <w:bCs/>
          <w:sz w:val="28"/>
          <w:szCs w:val="28"/>
          <w:lang w:eastAsia="es-EC"/>
        </w:rPr>
        <w:t xml:space="preserve"> y </w:t>
      </w:r>
      <w:r w:rsidR="000D2199">
        <w:rPr>
          <w:rFonts w:ascii="Times New Roman" w:eastAsia="Times New Roman" w:hAnsi="Times New Roman" w:cs="Times New Roman"/>
          <w:b/>
          <w:bCs/>
          <w:sz w:val="28"/>
          <w:szCs w:val="28"/>
          <w:lang w:eastAsia="es-EC"/>
        </w:rPr>
        <w:t xml:space="preserve">Discusión </w:t>
      </w:r>
    </w:p>
    <w:p w14:paraId="6D2173D7" w14:textId="487A425D" w:rsidR="007E4ACE" w:rsidRPr="006A5283" w:rsidRDefault="007E4ACE" w:rsidP="00B21A77">
      <w:pPr>
        <w:spacing w:line="360" w:lineRule="auto"/>
        <w:rPr>
          <w:rFonts w:ascii="Times New Roman" w:hAnsi="Times New Roman" w:cs="Times New Roman"/>
          <w:b/>
          <w:sz w:val="24"/>
          <w:szCs w:val="24"/>
        </w:rPr>
      </w:pPr>
      <w:r w:rsidRPr="006A5283">
        <w:rPr>
          <w:rFonts w:ascii="Times New Roman" w:hAnsi="Times New Roman" w:cs="Times New Roman"/>
          <w:b/>
          <w:sz w:val="24"/>
          <w:szCs w:val="24"/>
        </w:rPr>
        <w:t>La casación en materia penal.</w:t>
      </w:r>
    </w:p>
    <w:p w14:paraId="3765E5FC" w14:textId="77777777" w:rsidR="007E4ACE" w:rsidRPr="006A5283" w:rsidRDefault="007E4ACE" w:rsidP="00B21A77">
      <w:pPr>
        <w:spacing w:line="360" w:lineRule="auto"/>
        <w:rPr>
          <w:rFonts w:ascii="Times New Roman" w:hAnsi="Times New Roman" w:cs="Times New Roman"/>
          <w:sz w:val="24"/>
          <w:szCs w:val="24"/>
        </w:rPr>
      </w:pPr>
    </w:p>
    <w:p w14:paraId="5B34B728" w14:textId="18C90D82" w:rsidR="007E4ACE" w:rsidRPr="006A5283" w:rsidRDefault="007E4ACE"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El Pacto Internacional de los Derechos Civiles y Políticos (1966), en el Art. 14.5 señala:</w:t>
      </w:r>
      <w:r w:rsidR="00CA08D6">
        <w:rPr>
          <w:rFonts w:ascii="Times New Roman" w:hAnsi="Times New Roman" w:cs="Times New Roman"/>
          <w:sz w:val="24"/>
          <w:szCs w:val="24"/>
        </w:rPr>
        <w:t xml:space="preserve"> “</w:t>
      </w:r>
      <w:r w:rsidR="00CA08D6" w:rsidRPr="00CA08D6">
        <w:rPr>
          <w:rFonts w:ascii="Times New Roman" w:hAnsi="Times New Roman" w:cs="Times New Roman"/>
          <w:sz w:val="24"/>
          <w:szCs w:val="24"/>
        </w:rPr>
        <w:t>Toda persona declarada culpable de un delito tendrá derecho a que el fallo condenatorio y la pena que se le haya impuesto sean sometidos a un tribunal superior, conforme a lo prescrito por la ley.</w:t>
      </w:r>
      <w:r w:rsidRPr="006A5283">
        <w:rPr>
          <w:rFonts w:ascii="Times New Roman" w:hAnsi="Times New Roman" w:cs="Times New Roman"/>
          <w:sz w:val="24"/>
          <w:szCs w:val="24"/>
        </w:rPr>
        <w:t xml:space="preserve">” (p. 5); es decir, todo fallo judicial, puede ser impugnado. De igual forma, la Convención Americana sobre Derechos Humanos (1969), en el Art. 8 literal h) garantiza el “derecho de recurrir del fallo ante juez o tribunal superior” (p. 7). </w:t>
      </w:r>
    </w:p>
    <w:p w14:paraId="50427580" w14:textId="6206BC6F" w:rsidR="007E4ACE" w:rsidRPr="006A5283" w:rsidRDefault="007E4ACE"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 xml:space="preserve">En el Ecuador, la Constitución de la República garantiza el derecho al acceso gratuito a la justicia y a la tutela efectiva, imparcial y expedita de sus derechos e intereses, </w:t>
      </w:r>
      <w:r w:rsidR="00CA08D6">
        <w:rPr>
          <w:rFonts w:ascii="Times New Roman" w:hAnsi="Times New Roman" w:cs="Times New Roman"/>
          <w:sz w:val="24"/>
          <w:szCs w:val="24"/>
        </w:rPr>
        <w:t>con</w:t>
      </w:r>
      <w:r w:rsidRPr="006A5283">
        <w:rPr>
          <w:rFonts w:ascii="Times New Roman" w:hAnsi="Times New Roman" w:cs="Times New Roman"/>
          <w:sz w:val="24"/>
          <w:szCs w:val="24"/>
        </w:rPr>
        <w:t xml:space="preserve"> base a los principios de inmediación y celeridad; </w:t>
      </w:r>
      <w:r w:rsidR="00CA08D6">
        <w:rPr>
          <w:rFonts w:ascii="Times New Roman" w:hAnsi="Times New Roman" w:cs="Times New Roman"/>
          <w:sz w:val="24"/>
          <w:szCs w:val="24"/>
        </w:rPr>
        <w:t>determinando que</w:t>
      </w:r>
      <w:r w:rsidRPr="006A5283">
        <w:rPr>
          <w:rFonts w:ascii="Times New Roman" w:hAnsi="Times New Roman" w:cs="Times New Roman"/>
          <w:sz w:val="24"/>
          <w:szCs w:val="24"/>
        </w:rPr>
        <w:t xml:space="preserve"> en ningún caso quedará en indefensión</w:t>
      </w:r>
      <w:r w:rsidR="00E44EBF">
        <w:rPr>
          <w:rFonts w:ascii="Times New Roman" w:hAnsi="Times New Roman" w:cs="Times New Roman"/>
          <w:sz w:val="24"/>
          <w:szCs w:val="24"/>
        </w:rPr>
        <w:t>.</w:t>
      </w:r>
      <w:r w:rsidRPr="006A5283">
        <w:rPr>
          <w:rFonts w:ascii="Times New Roman" w:hAnsi="Times New Roman" w:cs="Times New Roman"/>
          <w:sz w:val="24"/>
          <w:szCs w:val="24"/>
        </w:rPr>
        <w:t xml:space="preserve"> </w:t>
      </w:r>
      <w:r w:rsidR="00734A1E">
        <w:rPr>
          <w:rFonts w:ascii="Times New Roman" w:hAnsi="Times New Roman" w:cs="Times New Roman"/>
          <w:sz w:val="24"/>
          <w:szCs w:val="24"/>
        </w:rPr>
        <w:t xml:space="preserve">Así también, como parte del derecho a la defensa, la norma constitucional contempla el derecho a recurrir el fallo o resolución en todo tipo de procedimientos en los que se decida sobre sus derechos </w:t>
      </w:r>
      <w:r w:rsidRPr="006A5283">
        <w:rPr>
          <w:rFonts w:ascii="Times New Roman" w:hAnsi="Times New Roman" w:cs="Times New Roman"/>
          <w:sz w:val="24"/>
          <w:szCs w:val="24"/>
        </w:rPr>
        <w:t>(Constitución de la República del Ecuador, 2008)</w:t>
      </w:r>
      <w:r w:rsidR="00734A1E">
        <w:rPr>
          <w:rFonts w:ascii="Times New Roman" w:hAnsi="Times New Roman" w:cs="Times New Roman"/>
          <w:sz w:val="24"/>
          <w:szCs w:val="24"/>
        </w:rPr>
        <w:t>.</w:t>
      </w:r>
    </w:p>
    <w:p w14:paraId="072F38FE" w14:textId="7A531F28" w:rsidR="00205673" w:rsidRDefault="007E4ACE"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En este sentido el Código Orgánico Integral Penal</w:t>
      </w:r>
      <w:r w:rsidR="001E784C">
        <w:rPr>
          <w:rFonts w:ascii="Times New Roman" w:hAnsi="Times New Roman" w:cs="Times New Roman"/>
          <w:sz w:val="24"/>
          <w:szCs w:val="24"/>
        </w:rPr>
        <w:t xml:space="preserve">, </w:t>
      </w:r>
      <w:r w:rsidRPr="006A5283">
        <w:rPr>
          <w:rFonts w:ascii="Times New Roman" w:hAnsi="Times New Roman" w:cs="Times New Roman"/>
          <w:sz w:val="24"/>
          <w:szCs w:val="24"/>
        </w:rPr>
        <w:t xml:space="preserve">COIP </w:t>
      </w:r>
      <w:r w:rsidR="001E784C">
        <w:rPr>
          <w:rFonts w:ascii="Times New Roman" w:hAnsi="Times New Roman" w:cs="Times New Roman"/>
          <w:sz w:val="24"/>
          <w:szCs w:val="24"/>
        </w:rPr>
        <w:t>(</w:t>
      </w:r>
      <w:r w:rsidRPr="006A5283">
        <w:rPr>
          <w:rFonts w:ascii="Times New Roman" w:hAnsi="Times New Roman" w:cs="Times New Roman"/>
          <w:sz w:val="24"/>
          <w:szCs w:val="24"/>
        </w:rPr>
        <w:t>2014) en su artículo 652 establece el derecho a impugnar, estableciendo determinados requisitos en materia penal</w:t>
      </w:r>
      <w:r w:rsidR="00734A1E">
        <w:rPr>
          <w:rFonts w:ascii="Times New Roman" w:hAnsi="Times New Roman" w:cs="Times New Roman"/>
          <w:sz w:val="24"/>
          <w:szCs w:val="24"/>
        </w:rPr>
        <w:t>. E</w:t>
      </w:r>
      <w:r w:rsidRPr="006A5283">
        <w:rPr>
          <w:rFonts w:ascii="Times New Roman" w:hAnsi="Times New Roman" w:cs="Times New Roman"/>
          <w:sz w:val="24"/>
          <w:szCs w:val="24"/>
        </w:rPr>
        <w:t xml:space="preserve">n este sentido son impugnables todas las sentencias, resoluciones o autos definitivos. </w:t>
      </w:r>
    </w:p>
    <w:p w14:paraId="38D707BA" w14:textId="77777777" w:rsidR="00205673" w:rsidRDefault="00205673" w:rsidP="00B21A77">
      <w:pPr>
        <w:spacing w:line="360" w:lineRule="auto"/>
        <w:ind w:left="1625" w:right="1625"/>
        <w:jc w:val="center"/>
        <w:rPr>
          <w:rFonts w:ascii="Times New Roman" w:hAnsi="Times New Roman" w:cs="Times New Roman"/>
          <w:b/>
          <w:sz w:val="24"/>
          <w:szCs w:val="24"/>
        </w:rPr>
      </w:pPr>
      <w:r w:rsidRPr="00455DB0">
        <w:rPr>
          <w:rFonts w:ascii="Times New Roman" w:hAnsi="Times New Roman" w:cs="Times New Roman"/>
          <w:b/>
          <w:sz w:val="24"/>
          <w:szCs w:val="24"/>
        </w:rPr>
        <w:t>Figura 1</w:t>
      </w:r>
    </w:p>
    <w:p w14:paraId="2C504250" w14:textId="1D3EA08C" w:rsidR="00205673" w:rsidRDefault="00D27B6F" w:rsidP="00B21A77">
      <w:pPr>
        <w:spacing w:line="360" w:lineRule="auto"/>
        <w:ind w:left="1625" w:right="1625"/>
        <w:jc w:val="center"/>
        <w:rPr>
          <w:rFonts w:ascii="Times New Roman" w:hAnsi="Times New Roman" w:cs="Times New Roman"/>
          <w:b/>
          <w:sz w:val="24"/>
          <w:szCs w:val="24"/>
        </w:rPr>
      </w:pPr>
      <w:r>
        <w:rPr>
          <w:noProof/>
          <w:lang w:eastAsia="es-EC"/>
        </w:rPr>
        <w:drawing>
          <wp:anchor distT="0" distB="0" distL="114300" distR="114300" simplePos="0" relativeHeight="251664384" behindDoc="0" locked="0" layoutInCell="1" allowOverlap="1" wp14:anchorId="68DA76A6" wp14:editId="09CBCACB">
            <wp:simplePos x="0" y="0"/>
            <wp:positionH relativeFrom="column">
              <wp:posOffset>253365</wp:posOffset>
            </wp:positionH>
            <wp:positionV relativeFrom="paragraph">
              <wp:posOffset>7620</wp:posOffset>
            </wp:positionV>
            <wp:extent cx="4605655" cy="2105025"/>
            <wp:effectExtent l="0" t="0" r="444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l="37182" t="36943" r="31239" b="19596"/>
                    <a:stretch/>
                  </pic:blipFill>
                  <pic:spPr bwMode="auto">
                    <a:xfrm>
                      <a:off x="0" y="0"/>
                      <a:ext cx="4605655" cy="210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0CC571" w14:textId="66712252" w:rsidR="00205673" w:rsidRDefault="00205673" w:rsidP="00B21A77">
      <w:pPr>
        <w:spacing w:line="360" w:lineRule="auto"/>
        <w:ind w:left="1625" w:right="1625"/>
        <w:jc w:val="center"/>
        <w:rPr>
          <w:rFonts w:ascii="Times New Roman" w:hAnsi="Times New Roman" w:cs="Times New Roman"/>
          <w:b/>
          <w:sz w:val="24"/>
          <w:szCs w:val="24"/>
        </w:rPr>
      </w:pPr>
    </w:p>
    <w:p w14:paraId="6AFF3360" w14:textId="77777777" w:rsidR="00205673" w:rsidRPr="00455DB0" w:rsidRDefault="00205673" w:rsidP="00B21A77">
      <w:pPr>
        <w:spacing w:line="360" w:lineRule="auto"/>
        <w:ind w:left="1625" w:right="1625"/>
        <w:jc w:val="center"/>
        <w:rPr>
          <w:rFonts w:ascii="Times New Roman" w:hAnsi="Times New Roman" w:cs="Times New Roman"/>
          <w:b/>
          <w:sz w:val="24"/>
          <w:szCs w:val="24"/>
        </w:rPr>
      </w:pPr>
    </w:p>
    <w:p w14:paraId="5B62D3F9" w14:textId="77777777" w:rsidR="00205673" w:rsidRDefault="00205673" w:rsidP="00B21A77">
      <w:pPr>
        <w:spacing w:line="360" w:lineRule="auto"/>
        <w:jc w:val="both"/>
        <w:rPr>
          <w:noProof/>
          <w:lang w:val="es-ES"/>
        </w:rPr>
      </w:pPr>
    </w:p>
    <w:p w14:paraId="796AD916" w14:textId="77777777" w:rsidR="00205673" w:rsidRDefault="00205673" w:rsidP="00B21A77">
      <w:pPr>
        <w:spacing w:line="360" w:lineRule="auto"/>
        <w:jc w:val="both"/>
        <w:rPr>
          <w:noProof/>
          <w:lang w:val="es-ES"/>
        </w:rPr>
      </w:pPr>
    </w:p>
    <w:p w14:paraId="131714D6" w14:textId="77777777" w:rsidR="00205673" w:rsidRDefault="00205673" w:rsidP="00B21A77">
      <w:pPr>
        <w:spacing w:line="360" w:lineRule="auto"/>
        <w:rPr>
          <w:noProof/>
          <w:lang w:val="es-ES"/>
        </w:rPr>
      </w:pPr>
      <w:r>
        <w:rPr>
          <w:noProof/>
          <w:lang w:val="es-ES"/>
        </w:rPr>
        <w:br w:type="textWrapping" w:clear="all"/>
      </w:r>
    </w:p>
    <w:p w14:paraId="77870252" w14:textId="77777777" w:rsidR="00205673" w:rsidRDefault="00205673" w:rsidP="00B21A77">
      <w:pPr>
        <w:spacing w:line="360" w:lineRule="auto"/>
        <w:jc w:val="both"/>
        <w:rPr>
          <w:rFonts w:ascii="Times New Roman" w:eastAsia="Times New Roman" w:hAnsi="Times New Roman" w:cs="Times New Roman"/>
          <w:sz w:val="24"/>
          <w:szCs w:val="24"/>
          <w:lang w:eastAsia="es-EC"/>
        </w:rPr>
      </w:pPr>
    </w:p>
    <w:p w14:paraId="11F678C8" w14:textId="77777777" w:rsidR="00205673" w:rsidRPr="00E44EBF" w:rsidRDefault="00205673" w:rsidP="00B21A77">
      <w:pPr>
        <w:spacing w:line="360" w:lineRule="auto"/>
        <w:jc w:val="center"/>
        <w:rPr>
          <w:rFonts w:ascii="Times New Roman" w:hAnsi="Times New Roman" w:cs="Times New Roman"/>
        </w:rPr>
      </w:pPr>
      <w:r w:rsidRPr="00E44EBF">
        <w:rPr>
          <w:rFonts w:ascii="Times New Roman" w:eastAsia="Times New Roman" w:hAnsi="Times New Roman" w:cs="Times New Roman"/>
          <w:lang w:eastAsia="es-EC"/>
        </w:rPr>
        <w:t xml:space="preserve">Fuente: </w:t>
      </w:r>
      <w:r w:rsidRPr="00E44EBF">
        <w:rPr>
          <w:rFonts w:ascii="Times New Roman" w:hAnsi="Times New Roman" w:cs="Times New Roman"/>
        </w:rPr>
        <w:t>COIP, 2014.</w:t>
      </w:r>
    </w:p>
    <w:p w14:paraId="37844867" w14:textId="7D58345F" w:rsidR="00205673" w:rsidRPr="00E44EBF" w:rsidRDefault="00205673" w:rsidP="00B21A77">
      <w:pPr>
        <w:spacing w:line="360" w:lineRule="auto"/>
        <w:jc w:val="center"/>
        <w:rPr>
          <w:rFonts w:ascii="Times New Roman" w:eastAsia="Times New Roman" w:hAnsi="Times New Roman" w:cs="Times New Roman"/>
          <w:lang w:eastAsia="es-EC"/>
        </w:rPr>
      </w:pPr>
      <w:r w:rsidRPr="00E44EBF">
        <w:rPr>
          <w:rFonts w:ascii="Times New Roman" w:hAnsi="Times New Roman" w:cs="Times New Roman"/>
        </w:rPr>
        <w:t>Elaboración</w:t>
      </w:r>
      <w:r w:rsidR="00E44EBF">
        <w:rPr>
          <w:rFonts w:ascii="Times New Roman" w:hAnsi="Times New Roman" w:cs="Times New Roman"/>
        </w:rPr>
        <w:t>:</w:t>
      </w:r>
      <w:r w:rsidRPr="00E44EBF">
        <w:rPr>
          <w:rFonts w:ascii="Times New Roman" w:hAnsi="Times New Roman" w:cs="Times New Roman"/>
        </w:rPr>
        <w:t xml:space="preserve"> </w:t>
      </w:r>
      <w:r w:rsidR="00E44EBF">
        <w:rPr>
          <w:rFonts w:ascii="Times New Roman" w:hAnsi="Times New Roman" w:cs="Times New Roman"/>
        </w:rPr>
        <w:t>L</w:t>
      </w:r>
      <w:r w:rsidRPr="00E44EBF">
        <w:rPr>
          <w:rFonts w:ascii="Times New Roman" w:hAnsi="Times New Roman" w:cs="Times New Roman"/>
        </w:rPr>
        <w:t>os autores</w:t>
      </w:r>
      <w:r w:rsidR="00E44EBF">
        <w:rPr>
          <w:rFonts w:ascii="Times New Roman" w:hAnsi="Times New Roman" w:cs="Times New Roman"/>
        </w:rPr>
        <w:t>.</w:t>
      </w:r>
    </w:p>
    <w:p w14:paraId="445A2D2C" w14:textId="147BE3E7" w:rsidR="007E4ACE" w:rsidRDefault="007E4ACE"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Adentrándonos al tema objeto de estudio, Garcés</w:t>
      </w:r>
      <w:r w:rsidR="00937578">
        <w:rPr>
          <w:rFonts w:ascii="Times New Roman" w:hAnsi="Times New Roman" w:cs="Times New Roman"/>
          <w:sz w:val="24"/>
          <w:szCs w:val="24"/>
        </w:rPr>
        <w:t xml:space="preserve"> (2015)</w:t>
      </w:r>
      <w:r w:rsidRPr="006A5283">
        <w:rPr>
          <w:rFonts w:ascii="Times New Roman" w:hAnsi="Times New Roman" w:cs="Times New Roman"/>
          <w:sz w:val="24"/>
          <w:szCs w:val="24"/>
        </w:rPr>
        <w:t xml:space="preserve">, considera que el recurso de casación analiza los errores que existen en las sentencias de los jueces de </w:t>
      </w:r>
      <w:r w:rsidR="00D27B6F">
        <w:rPr>
          <w:rFonts w:ascii="Times New Roman" w:hAnsi="Times New Roman" w:cs="Times New Roman"/>
          <w:sz w:val="24"/>
          <w:szCs w:val="24"/>
        </w:rPr>
        <w:t>instancias inferiores</w:t>
      </w:r>
      <w:r w:rsidRPr="006A5283">
        <w:rPr>
          <w:rFonts w:ascii="Times New Roman" w:hAnsi="Times New Roman" w:cs="Times New Roman"/>
          <w:sz w:val="24"/>
          <w:szCs w:val="24"/>
        </w:rPr>
        <w:t xml:space="preserve">. Este autor considera que la casación es un recurso extraordinario y limitado, su fin es hacer efectivos los que los principios y garantías constitucionales, así como los derechos del debido proceso y más garantías previstas en la Constitución de la República, a fin de que se aplique de forma adecuada las normas legales sustantivas en la sentencia que tenga errores de derecho. </w:t>
      </w:r>
    </w:p>
    <w:p w14:paraId="22796FD0" w14:textId="193DD4FD" w:rsidR="007E4ACE" w:rsidRPr="00D27364" w:rsidRDefault="007E4ACE" w:rsidP="00B21A77">
      <w:pPr>
        <w:spacing w:line="360" w:lineRule="auto"/>
        <w:jc w:val="both"/>
        <w:rPr>
          <w:rFonts w:ascii="Times New Roman" w:hAnsi="Times New Roman" w:cs="Times New Roman"/>
          <w:sz w:val="24"/>
          <w:szCs w:val="24"/>
        </w:rPr>
      </w:pPr>
      <w:r w:rsidRPr="00D27364">
        <w:rPr>
          <w:rFonts w:ascii="Times New Roman" w:hAnsi="Times New Roman" w:cs="Times New Roman"/>
          <w:sz w:val="24"/>
          <w:szCs w:val="24"/>
        </w:rPr>
        <w:t>Según Ojeda</w:t>
      </w:r>
      <w:r w:rsidR="000A56F0">
        <w:rPr>
          <w:rFonts w:ascii="Times New Roman" w:hAnsi="Times New Roman" w:cs="Times New Roman"/>
          <w:sz w:val="24"/>
          <w:szCs w:val="24"/>
        </w:rPr>
        <w:t xml:space="preserve"> (2015)</w:t>
      </w:r>
      <w:r w:rsidRPr="00D27364">
        <w:rPr>
          <w:rFonts w:ascii="Times New Roman" w:hAnsi="Times New Roman" w:cs="Times New Roman"/>
          <w:sz w:val="24"/>
          <w:szCs w:val="24"/>
        </w:rPr>
        <w:t xml:space="preserve">, etimológicamente del término casación se deriva de la voz casar, y del vocablo latino </w:t>
      </w:r>
      <w:proofErr w:type="spellStart"/>
      <w:r w:rsidRPr="00D27364">
        <w:rPr>
          <w:rFonts w:ascii="Times New Roman" w:hAnsi="Times New Roman" w:cs="Times New Roman"/>
          <w:sz w:val="24"/>
          <w:szCs w:val="24"/>
        </w:rPr>
        <w:t>cassare</w:t>
      </w:r>
      <w:proofErr w:type="spellEnd"/>
      <w:r w:rsidRPr="00D27364">
        <w:rPr>
          <w:rFonts w:ascii="Times New Roman" w:hAnsi="Times New Roman" w:cs="Times New Roman"/>
          <w:sz w:val="24"/>
          <w:szCs w:val="24"/>
        </w:rPr>
        <w:t xml:space="preserve">, derivado de </w:t>
      </w:r>
      <w:proofErr w:type="spellStart"/>
      <w:r w:rsidRPr="00D27364">
        <w:rPr>
          <w:rFonts w:ascii="Times New Roman" w:hAnsi="Times New Roman" w:cs="Times New Roman"/>
          <w:sz w:val="24"/>
          <w:szCs w:val="24"/>
        </w:rPr>
        <w:t>cassus</w:t>
      </w:r>
      <w:proofErr w:type="spellEnd"/>
      <w:r w:rsidRPr="00D27364">
        <w:rPr>
          <w:rFonts w:ascii="Times New Roman" w:hAnsi="Times New Roman" w:cs="Times New Roman"/>
          <w:sz w:val="24"/>
          <w:szCs w:val="24"/>
        </w:rPr>
        <w:t xml:space="preserve"> (vano, nulo), en su significado de la casación se asemeja a anular, abrogar, derogar. E</w:t>
      </w:r>
      <w:r w:rsidR="00D27B6F">
        <w:rPr>
          <w:rFonts w:ascii="Times New Roman" w:hAnsi="Times New Roman" w:cs="Times New Roman"/>
          <w:sz w:val="24"/>
          <w:szCs w:val="24"/>
        </w:rPr>
        <w:t>l</w:t>
      </w:r>
      <w:r w:rsidRPr="00D27364">
        <w:rPr>
          <w:rFonts w:ascii="Times New Roman" w:hAnsi="Times New Roman" w:cs="Times New Roman"/>
          <w:sz w:val="24"/>
          <w:szCs w:val="24"/>
        </w:rPr>
        <w:t xml:space="preserve"> fin, de la casación, es dejar sin efecto una resolución, es decir, logar modificar o anular una sentencia del juez a quo, procede únicamente en los casos señalados en la norma penal.</w:t>
      </w:r>
    </w:p>
    <w:p w14:paraId="1BD10025" w14:textId="11DCBDE1" w:rsidR="005731D0" w:rsidRDefault="00D27B6F" w:rsidP="00B21A77">
      <w:pPr>
        <w:spacing w:line="360" w:lineRule="auto"/>
        <w:jc w:val="both"/>
        <w:rPr>
          <w:rFonts w:ascii="Times New Roman" w:hAnsi="Times New Roman" w:cs="Times New Roman"/>
          <w:sz w:val="24"/>
          <w:szCs w:val="24"/>
        </w:rPr>
      </w:pPr>
      <w:r w:rsidRPr="00D27B6F">
        <w:rPr>
          <w:rFonts w:ascii="Times New Roman" w:hAnsi="Times New Roman" w:cs="Times New Roman"/>
          <w:sz w:val="24"/>
          <w:szCs w:val="24"/>
        </w:rPr>
        <w:t xml:space="preserve">En Ecuador, el recurso de casación penal es </w:t>
      </w:r>
      <w:r>
        <w:rPr>
          <w:rFonts w:ascii="Times New Roman" w:hAnsi="Times New Roman" w:cs="Times New Roman"/>
          <w:sz w:val="24"/>
          <w:szCs w:val="24"/>
        </w:rPr>
        <w:t xml:space="preserve">de carácter </w:t>
      </w:r>
      <w:r w:rsidRPr="00D27B6F">
        <w:rPr>
          <w:rFonts w:ascii="Times New Roman" w:hAnsi="Times New Roman" w:cs="Times New Roman"/>
          <w:sz w:val="24"/>
          <w:szCs w:val="24"/>
        </w:rPr>
        <w:t>extraordinario destinado a examinar si las sentencias definitivas en procesos penales han incurrido en violaciones a las normas legales. Se distingue por su naturaleza formal, su función de resguardar la correcta aplicación del derecho</w:t>
      </w:r>
      <w:r>
        <w:rPr>
          <w:rFonts w:ascii="Times New Roman" w:hAnsi="Times New Roman" w:cs="Times New Roman"/>
          <w:sz w:val="24"/>
          <w:szCs w:val="24"/>
        </w:rPr>
        <w:t>.</w:t>
      </w:r>
      <w:r w:rsidR="005731D0">
        <w:rPr>
          <w:rFonts w:ascii="Times New Roman" w:hAnsi="Times New Roman" w:cs="Times New Roman"/>
          <w:sz w:val="24"/>
          <w:szCs w:val="24"/>
        </w:rPr>
        <w:t xml:space="preserve"> </w:t>
      </w:r>
    </w:p>
    <w:p w14:paraId="5C6D2958" w14:textId="48FB607D" w:rsidR="001408FB" w:rsidRDefault="001408FB"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Para la sustanciación  del recurso de casación, es de competencia de la Corte Nacional como organismo de última instancia dentro de la justicia ordinaria, en este sentido la resolución que dicte la Corte no es susceptible de  ningún recurso alguno, procede para aquellos casos que hayan contravenido la ley expresamente en su texto o realizado una indebida aplicación o interpretación errónea de la ley, no son susceptibles de recurso de casación aquellos pedidos que contengan revisión de hechos o valoración de prueba (COIP, 2014, Art. 656, p. 40)</w:t>
      </w:r>
    </w:p>
    <w:p w14:paraId="68BCF065" w14:textId="568D093F" w:rsidR="00F737ED" w:rsidRPr="006A5283" w:rsidRDefault="00F737ED" w:rsidP="00B21A77">
      <w:pPr>
        <w:spacing w:line="360" w:lineRule="auto"/>
        <w:jc w:val="both"/>
        <w:rPr>
          <w:rFonts w:ascii="Times New Roman" w:hAnsi="Times New Roman" w:cs="Times New Roman"/>
          <w:sz w:val="24"/>
          <w:szCs w:val="24"/>
        </w:rPr>
      </w:pPr>
      <w:r w:rsidRPr="00F737ED">
        <w:rPr>
          <w:rFonts w:ascii="Times New Roman" w:hAnsi="Times New Roman" w:cs="Times New Roman"/>
          <w:sz w:val="24"/>
          <w:szCs w:val="24"/>
        </w:rPr>
        <w:t>El recurso de casación surge como una manifestación del derecho</w:t>
      </w:r>
      <w:r>
        <w:rPr>
          <w:rFonts w:ascii="Times New Roman" w:hAnsi="Times New Roman" w:cs="Times New Roman"/>
          <w:sz w:val="24"/>
          <w:szCs w:val="24"/>
        </w:rPr>
        <w:t xml:space="preserve"> a la defensa, que incluye el</w:t>
      </w:r>
      <w:r w:rsidRPr="00F737ED">
        <w:rPr>
          <w:rFonts w:ascii="Times New Roman" w:hAnsi="Times New Roman" w:cs="Times New Roman"/>
          <w:sz w:val="24"/>
          <w:szCs w:val="24"/>
        </w:rPr>
        <w:t xml:space="preserve"> impugnar las decisiones judiciales con las que una de las partes procesales no </w:t>
      </w:r>
      <w:r>
        <w:rPr>
          <w:rFonts w:ascii="Times New Roman" w:hAnsi="Times New Roman" w:cs="Times New Roman"/>
          <w:sz w:val="24"/>
          <w:szCs w:val="24"/>
        </w:rPr>
        <w:t>se encuentre</w:t>
      </w:r>
      <w:r w:rsidRPr="00F737ED">
        <w:rPr>
          <w:rFonts w:ascii="Times New Roman" w:hAnsi="Times New Roman" w:cs="Times New Roman"/>
          <w:sz w:val="24"/>
          <w:szCs w:val="24"/>
        </w:rPr>
        <w:t xml:space="preserve"> conforme, con el fin de que dichas decisiones sean reformadas, revocadas o corregidas. Se trata de un derecho fundamental y una garantía del debido proceso, orientado exclusivamente a la revisión de errores de derecho. Su finalidad es asegurar la seguridad jurídica, por lo que su alcance se limita a examinar vicios jurídicos contenidos en sentencias, resoluciones o autos definitivos, sin que sea posible revalorizar la prueba o reconsiderar los hechos ya analizados en instancias inferiores. En este sentido, la casación solo procede cuando se ha producido una </w:t>
      </w:r>
      <w:r>
        <w:rPr>
          <w:rFonts w:ascii="Times New Roman" w:hAnsi="Times New Roman" w:cs="Times New Roman"/>
          <w:sz w:val="24"/>
          <w:szCs w:val="24"/>
        </w:rPr>
        <w:t>violación a la ley</w:t>
      </w:r>
      <w:r w:rsidRPr="00F737ED">
        <w:rPr>
          <w:rFonts w:ascii="Times New Roman" w:hAnsi="Times New Roman" w:cs="Times New Roman"/>
          <w:sz w:val="24"/>
          <w:szCs w:val="24"/>
        </w:rPr>
        <w:t xml:space="preserve">, ya sea por indebida aplicación, falta de aplicación o interpretación errónea de la </w:t>
      </w:r>
      <w:r>
        <w:rPr>
          <w:rFonts w:ascii="Times New Roman" w:hAnsi="Times New Roman" w:cs="Times New Roman"/>
          <w:sz w:val="24"/>
          <w:szCs w:val="24"/>
        </w:rPr>
        <w:t>misma</w:t>
      </w:r>
      <w:r w:rsidRPr="00F737ED">
        <w:rPr>
          <w:rFonts w:ascii="Times New Roman" w:hAnsi="Times New Roman" w:cs="Times New Roman"/>
          <w:sz w:val="24"/>
          <w:szCs w:val="24"/>
        </w:rPr>
        <w:t>. Por tanto, este recurso debe ser técnico, restringido en su objeto y formal en su tramitación</w:t>
      </w:r>
      <w:r>
        <w:rPr>
          <w:rFonts w:ascii="Times New Roman" w:hAnsi="Times New Roman" w:cs="Times New Roman"/>
          <w:sz w:val="24"/>
          <w:szCs w:val="24"/>
        </w:rPr>
        <w:t>.</w:t>
      </w:r>
    </w:p>
    <w:p w14:paraId="3E36541D" w14:textId="7A563BED" w:rsidR="00B82569" w:rsidRDefault="00297979"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Así también, el recurso de casación en materia penal</w:t>
      </w:r>
      <w:r w:rsidRPr="00297979">
        <w:rPr>
          <w:rFonts w:ascii="Times New Roman" w:hAnsi="Times New Roman" w:cs="Times New Roman"/>
          <w:sz w:val="24"/>
          <w:szCs w:val="24"/>
        </w:rPr>
        <w:t xml:space="preserve"> se caracteriza</w:t>
      </w:r>
      <w:r>
        <w:rPr>
          <w:rFonts w:ascii="Times New Roman" w:hAnsi="Times New Roman" w:cs="Times New Roman"/>
          <w:sz w:val="24"/>
          <w:szCs w:val="24"/>
        </w:rPr>
        <w:t xml:space="preserve"> </w:t>
      </w:r>
      <w:r w:rsidRPr="00297979">
        <w:rPr>
          <w:rFonts w:ascii="Times New Roman" w:hAnsi="Times New Roman" w:cs="Times New Roman"/>
          <w:sz w:val="24"/>
          <w:szCs w:val="24"/>
        </w:rPr>
        <w:t>por ser un recurso</w:t>
      </w:r>
      <w:r w:rsidR="00B82569">
        <w:rPr>
          <w:rFonts w:ascii="Times New Roman" w:hAnsi="Times New Roman" w:cs="Times New Roman"/>
          <w:sz w:val="24"/>
          <w:szCs w:val="24"/>
        </w:rPr>
        <w:t xml:space="preserve"> </w:t>
      </w:r>
      <w:r w:rsidRPr="00297979">
        <w:rPr>
          <w:rFonts w:ascii="Times New Roman" w:hAnsi="Times New Roman" w:cs="Times New Roman"/>
          <w:sz w:val="24"/>
          <w:szCs w:val="24"/>
        </w:rPr>
        <w:t xml:space="preserve">formal, nomofiláctico, atenuado en su carácter </w:t>
      </w:r>
      <w:r w:rsidRPr="00E4639E">
        <w:rPr>
          <w:rFonts w:ascii="Times New Roman" w:hAnsi="Times New Roman" w:cs="Times New Roman"/>
          <w:sz w:val="24"/>
          <w:szCs w:val="24"/>
        </w:rPr>
        <w:t>dispositivo, y con vocación sistematizadora.</w:t>
      </w:r>
      <w:r w:rsidR="00B82569" w:rsidRPr="00E4639E">
        <w:rPr>
          <w:rFonts w:ascii="Times New Roman" w:hAnsi="Times New Roman" w:cs="Times New Roman"/>
          <w:sz w:val="24"/>
          <w:szCs w:val="24"/>
        </w:rPr>
        <w:t xml:space="preserve"> Respecto a su característica formal, aquello implica que debe ser interpuesto dentro de un plazo legal específico, bajo sanción de inadmisibilidad; solo los sujetos procesales tienen legitimación para presentarlo; el recurso no puede versar sobre la reevaluación de hechos ni sobre la apreciación probatoria del caso</w:t>
      </w:r>
      <w:r w:rsidR="00E4639E" w:rsidRPr="00E4639E">
        <w:rPr>
          <w:rFonts w:ascii="Times New Roman" w:hAnsi="Times New Roman" w:cs="Times New Roman"/>
          <w:sz w:val="24"/>
          <w:szCs w:val="24"/>
        </w:rPr>
        <w:t>; y, el</w:t>
      </w:r>
      <w:r w:rsidR="00B82569" w:rsidRPr="00E4639E">
        <w:rPr>
          <w:rFonts w:ascii="Times New Roman" w:hAnsi="Times New Roman" w:cs="Times New Roman"/>
          <w:sz w:val="24"/>
          <w:szCs w:val="24"/>
        </w:rPr>
        <w:t xml:space="preserve"> objeto de impugnación se limita exclusivamente a la sentencia, no a los elementos fácticos del proceso.</w:t>
      </w:r>
      <w:r w:rsidR="00E4639E">
        <w:rPr>
          <w:rFonts w:ascii="Times New Roman" w:hAnsi="Times New Roman" w:cs="Times New Roman"/>
          <w:sz w:val="24"/>
          <w:szCs w:val="24"/>
        </w:rPr>
        <w:t xml:space="preserve"> (Corte Constitucional, Sentencia 8-19-IN/21, 2021)</w:t>
      </w:r>
    </w:p>
    <w:p w14:paraId="4545AB82" w14:textId="70352EBF" w:rsidR="00B82569" w:rsidRDefault="00E4639E"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 la característica </w:t>
      </w:r>
      <w:r w:rsidR="00B82569" w:rsidRPr="00B82569">
        <w:rPr>
          <w:rFonts w:ascii="Times New Roman" w:hAnsi="Times New Roman" w:cs="Times New Roman"/>
          <w:sz w:val="24"/>
          <w:szCs w:val="24"/>
        </w:rPr>
        <w:t>nomofiláctica</w:t>
      </w:r>
      <w:r>
        <w:rPr>
          <w:rFonts w:ascii="Times New Roman" w:hAnsi="Times New Roman" w:cs="Times New Roman"/>
          <w:sz w:val="24"/>
          <w:szCs w:val="24"/>
        </w:rPr>
        <w:t xml:space="preserve"> de la casación penal</w:t>
      </w:r>
      <w:r w:rsidR="00B82569" w:rsidRPr="00B82569">
        <w:rPr>
          <w:rFonts w:ascii="Times New Roman" w:hAnsi="Times New Roman" w:cs="Times New Roman"/>
          <w:sz w:val="24"/>
          <w:szCs w:val="24"/>
        </w:rPr>
        <w:t xml:space="preserve">, </w:t>
      </w:r>
      <w:r>
        <w:rPr>
          <w:rFonts w:ascii="Times New Roman" w:hAnsi="Times New Roman" w:cs="Times New Roman"/>
          <w:sz w:val="24"/>
          <w:szCs w:val="24"/>
        </w:rPr>
        <w:t xml:space="preserve">aquella se refiere a </w:t>
      </w:r>
      <w:r w:rsidR="00B82569" w:rsidRPr="00B82569">
        <w:rPr>
          <w:rFonts w:ascii="Times New Roman" w:hAnsi="Times New Roman" w:cs="Times New Roman"/>
          <w:sz w:val="24"/>
          <w:szCs w:val="24"/>
        </w:rPr>
        <w:t>garantizar la correcta</w:t>
      </w:r>
      <w:r>
        <w:rPr>
          <w:rFonts w:ascii="Times New Roman" w:hAnsi="Times New Roman" w:cs="Times New Roman"/>
          <w:sz w:val="24"/>
          <w:szCs w:val="24"/>
        </w:rPr>
        <w:t xml:space="preserve"> y uniforme</w:t>
      </w:r>
      <w:r w:rsidR="00B82569" w:rsidRPr="00B82569">
        <w:rPr>
          <w:rFonts w:ascii="Times New Roman" w:hAnsi="Times New Roman" w:cs="Times New Roman"/>
          <w:sz w:val="24"/>
          <w:szCs w:val="24"/>
        </w:rPr>
        <w:t xml:space="preserve"> aplicación del ordenamiento jurídico. La finalidad esencial del recurso es, por tanto, corregir decisiones judiciales </w:t>
      </w:r>
      <w:r w:rsidR="00F737ED">
        <w:rPr>
          <w:rFonts w:ascii="Times New Roman" w:hAnsi="Times New Roman" w:cs="Times New Roman"/>
          <w:sz w:val="24"/>
          <w:szCs w:val="24"/>
        </w:rPr>
        <w:t>contrarias a la ley</w:t>
      </w:r>
      <w:r w:rsidR="00B82569" w:rsidRPr="00B82569">
        <w:rPr>
          <w:rFonts w:ascii="Times New Roman" w:hAnsi="Times New Roman" w:cs="Times New Roman"/>
          <w:sz w:val="24"/>
          <w:szCs w:val="24"/>
        </w:rPr>
        <w:t xml:space="preserve">, asegurando la coherencia del sistema </w:t>
      </w:r>
      <w:r w:rsidR="00F737ED">
        <w:rPr>
          <w:rFonts w:ascii="Times New Roman" w:hAnsi="Times New Roman" w:cs="Times New Roman"/>
          <w:sz w:val="24"/>
          <w:szCs w:val="24"/>
        </w:rPr>
        <w:t>jurídico</w:t>
      </w:r>
      <w:r w:rsidR="00B82569" w:rsidRPr="00B82569">
        <w:rPr>
          <w:rFonts w:ascii="Times New Roman" w:hAnsi="Times New Roman" w:cs="Times New Roman"/>
          <w:sz w:val="24"/>
          <w:szCs w:val="24"/>
        </w:rPr>
        <w:t>. Esta naturaleza impide que, a través del recurso de casación, se reabra el debate sobre los hechos o la prueba, competencias propias de los recursos ordinarios.</w:t>
      </w:r>
      <w:r w:rsidR="00F737ED">
        <w:rPr>
          <w:rFonts w:ascii="Times New Roman" w:hAnsi="Times New Roman" w:cs="Times New Roman"/>
          <w:sz w:val="24"/>
          <w:szCs w:val="24"/>
        </w:rPr>
        <w:t xml:space="preserve"> (Corte Constitucional, Sentencia 8-19-IN/21, 2021)</w:t>
      </w:r>
    </w:p>
    <w:p w14:paraId="3592ADEB" w14:textId="10298687" w:rsidR="00297979" w:rsidRDefault="00B82569" w:rsidP="00B21A77">
      <w:pPr>
        <w:spacing w:line="360" w:lineRule="auto"/>
        <w:jc w:val="both"/>
        <w:rPr>
          <w:rFonts w:ascii="Times New Roman" w:hAnsi="Times New Roman" w:cs="Times New Roman"/>
          <w:sz w:val="24"/>
          <w:szCs w:val="24"/>
        </w:rPr>
      </w:pPr>
      <w:r w:rsidRPr="00B82569">
        <w:rPr>
          <w:rFonts w:ascii="Times New Roman" w:hAnsi="Times New Roman" w:cs="Times New Roman"/>
          <w:sz w:val="24"/>
          <w:szCs w:val="24"/>
        </w:rPr>
        <w:t xml:space="preserve">Por otro lado, </w:t>
      </w:r>
      <w:r w:rsidR="00011377">
        <w:rPr>
          <w:rFonts w:ascii="Times New Roman" w:hAnsi="Times New Roman" w:cs="Times New Roman"/>
          <w:sz w:val="24"/>
          <w:szCs w:val="24"/>
        </w:rPr>
        <w:t xml:space="preserve">respecto a la tercera característica del recurso de casación penal, </w:t>
      </w:r>
      <w:r w:rsidR="00011377" w:rsidRPr="00011377">
        <w:rPr>
          <w:rFonts w:ascii="Times New Roman" w:hAnsi="Times New Roman" w:cs="Times New Roman"/>
          <w:sz w:val="24"/>
          <w:szCs w:val="24"/>
        </w:rPr>
        <w:t>atenuación del carácter dispositivo</w:t>
      </w:r>
      <w:r w:rsidR="00011377">
        <w:rPr>
          <w:rFonts w:ascii="Times New Roman" w:hAnsi="Times New Roman" w:cs="Times New Roman"/>
          <w:sz w:val="24"/>
          <w:szCs w:val="24"/>
        </w:rPr>
        <w:t xml:space="preserve">, </w:t>
      </w:r>
      <w:r w:rsidRPr="00B82569">
        <w:rPr>
          <w:rFonts w:ascii="Times New Roman" w:hAnsi="Times New Roman" w:cs="Times New Roman"/>
          <w:sz w:val="24"/>
          <w:szCs w:val="24"/>
        </w:rPr>
        <w:t xml:space="preserve">aunque la iniciativa de interponer el recurso corresponde a las partes procesales, el tribunal de casación puede actuar de oficio si identifica violaciones legales en la sentencia impugnada, incluso si la argumentación del recurrente es errónea, lo que refleja una atenuación del principio dispositivo. Finalmente, el recurso </w:t>
      </w:r>
      <w:r w:rsidR="00011377">
        <w:rPr>
          <w:rFonts w:ascii="Times New Roman" w:hAnsi="Times New Roman" w:cs="Times New Roman"/>
          <w:sz w:val="24"/>
          <w:szCs w:val="24"/>
        </w:rPr>
        <w:t xml:space="preserve">de casación penal </w:t>
      </w:r>
      <w:r w:rsidRPr="00B82569">
        <w:rPr>
          <w:rFonts w:ascii="Times New Roman" w:hAnsi="Times New Roman" w:cs="Times New Roman"/>
          <w:sz w:val="24"/>
          <w:szCs w:val="24"/>
        </w:rPr>
        <w:t>también tiene un papel sistematizador, en la medida en que permite a la Corte Nacional de Justicia cumplir con su función constitucional de unificación de la jurisprudencia, conforme al artículo 184.2 de la Constitución y al artículo 180 del Código Orgánico de la Función Judicial, mediante el desarrollo de precedentes vinculantes basados en fallos reiterados.</w:t>
      </w:r>
      <w:r w:rsidR="00011377">
        <w:rPr>
          <w:rFonts w:ascii="Times New Roman" w:hAnsi="Times New Roman" w:cs="Times New Roman"/>
          <w:sz w:val="24"/>
          <w:szCs w:val="24"/>
        </w:rPr>
        <w:t xml:space="preserve"> (Corte Constitucional, Sentencia 8-19-IN/21, 2021)</w:t>
      </w:r>
    </w:p>
    <w:p w14:paraId="6A620474" w14:textId="77777777" w:rsidR="00297979" w:rsidRDefault="00297979" w:rsidP="00B21A77">
      <w:pPr>
        <w:spacing w:line="360" w:lineRule="auto"/>
        <w:ind w:firstLine="720"/>
        <w:jc w:val="both"/>
        <w:rPr>
          <w:rFonts w:ascii="Times New Roman" w:hAnsi="Times New Roman" w:cs="Times New Roman"/>
          <w:sz w:val="24"/>
          <w:szCs w:val="24"/>
        </w:rPr>
      </w:pPr>
    </w:p>
    <w:p w14:paraId="61E907E0" w14:textId="5F89691F" w:rsidR="007E4ACE" w:rsidRPr="006A5283" w:rsidRDefault="007E4ACE"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En cuanto al trámite el articulo Art. 657 del Código Orgánico Integral Penal, establece determinadas reglas que deben cumplirse entre ellas las siguientes: a) plazo para interponerlo: cinco días hábiles contados a partir de la notificación de la sentencia; b) plazo para convocar a audiencia: tres días. Si lo rechaza lo devuelve al juzgado de origen; c) plazo para sustanciarlo y dictar sentencia: cinco días contados desde la convocatoria. En la audiencia de recurso, interviene primero el recurrente quien fundamenta su pretensión y los otros sujetos procesales se pronunciarán sobre la misma; d) el recurso interpuesto por la o el fiscal, lo fundamentará en audiencia la o el Fiscal General del Estado o su delegada o delegado; e) Si es procedente el recurso, se pronunciará sentencia enmendando la violación a la ley; f) Si se observa que la sentencia ha violado la ley, aunque la fundamentación del recurrente sea equivocada, de oficio se la admitirá; y, g) Notificación de la sentencia: plazo de tres días de finalizada la audiencia y se devolverá  al juzg</w:t>
      </w:r>
      <w:r w:rsidR="00E7423D">
        <w:rPr>
          <w:rFonts w:ascii="Times New Roman" w:hAnsi="Times New Roman" w:cs="Times New Roman"/>
          <w:sz w:val="24"/>
          <w:szCs w:val="24"/>
        </w:rPr>
        <w:t>ado de origen para la ejecución.</w:t>
      </w:r>
    </w:p>
    <w:p w14:paraId="40CBE952" w14:textId="03002EE3" w:rsidR="008A382A" w:rsidRDefault="008A382A" w:rsidP="00B21A77">
      <w:pPr>
        <w:spacing w:line="360" w:lineRule="auto"/>
        <w:jc w:val="both"/>
        <w:rPr>
          <w:rFonts w:ascii="Times New Roman" w:hAnsi="Times New Roman" w:cs="Times New Roman"/>
          <w:b/>
          <w:sz w:val="24"/>
          <w:szCs w:val="24"/>
        </w:rPr>
      </w:pPr>
      <w:r w:rsidRPr="006A5283">
        <w:rPr>
          <w:rFonts w:ascii="Times New Roman" w:hAnsi="Times New Roman" w:cs="Times New Roman"/>
          <w:b/>
          <w:sz w:val="24"/>
          <w:szCs w:val="24"/>
        </w:rPr>
        <w:t>Derecho a recurrir</w:t>
      </w:r>
      <w:r w:rsidR="00D27364">
        <w:rPr>
          <w:rFonts w:ascii="Times New Roman" w:hAnsi="Times New Roman" w:cs="Times New Roman"/>
          <w:b/>
          <w:sz w:val="24"/>
          <w:szCs w:val="24"/>
        </w:rPr>
        <w:t>.</w:t>
      </w:r>
    </w:p>
    <w:p w14:paraId="184D6A2C" w14:textId="2555E7AF" w:rsidR="00920780" w:rsidRPr="006A5283" w:rsidRDefault="00920780" w:rsidP="00B21A77">
      <w:pPr>
        <w:spacing w:line="360" w:lineRule="auto"/>
        <w:jc w:val="both"/>
        <w:rPr>
          <w:rFonts w:ascii="Times New Roman" w:hAnsi="Times New Roman" w:cs="Times New Roman"/>
          <w:sz w:val="24"/>
          <w:szCs w:val="24"/>
        </w:rPr>
      </w:pPr>
      <w:r w:rsidRPr="00920780">
        <w:rPr>
          <w:rFonts w:ascii="Times New Roman" w:hAnsi="Times New Roman" w:cs="Times New Roman"/>
          <w:sz w:val="24"/>
          <w:szCs w:val="24"/>
        </w:rPr>
        <w:t>El derecho constitucional a recurrir las decisiones judiciales, como parte integrante del debido proceso y del derecho a la defensa en materia penal, garantiza que cualquier persona sancionada, así como las demás partes procesales, puedan impugnar una sentencia, resolución o auto definitivo cuando consideren que dicha decisión vulnera derechos constitucionales o se aparta de la verdad procesal.</w:t>
      </w:r>
    </w:p>
    <w:p w14:paraId="786CF4EE" w14:textId="35ED98F3" w:rsidR="00D95D02" w:rsidRPr="006A5283" w:rsidRDefault="00D95D02" w:rsidP="00B21A77">
      <w:pPr>
        <w:spacing w:line="360" w:lineRule="auto"/>
        <w:jc w:val="both"/>
        <w:rPr>
          <w:rFonts w:ascii="Times New Roman" w:hAnsi="Times New Roman" w:cs="Times New Roman"/>
          <w:sz w:val="24"/>
          <w:szCs w:val="24"/>
        </w:rPr>
      </w:pPr>
      <w:r w:rsidRPr="00740589">
        <w:rPr>
          <w:rFonts w:ascii="Times New Roman" w:hAnsi="Times New Roman" w:cs="Times New Roman"/>
          <w:sz w:val="24"/>
          <w:szCs w:val="24"/>
        </w:rPr>
        <w:t>La</w:t>
      </w:r>
      <w:r w:rsidR="00740589" w:rsidRPr="00740589">
        <w:rPr>
          <w:rFonts w:ascii="Times New Roman" w:hAnsi="Times New Roman" w:cs="Times New Roman"/>
          <w:sz w:val="24"/>
          <w:szCs w:val="24"/>
        </w:rPr>
        <w:t xml:space="preserve"> Convención Americana sobre Derechos Humanos en el Artículo 8.2, </w:t>
      </w:r>
      <w:r w:rsidR="00920780">
        <w:rPr>
          <w:rFonts w:ascii="Times New Roman" w:hAnsi="Times New Roman" w:cs="Times New Roman"/>
          <w:sz w:val="24"/>
          <w:szCs w:val="24"/>
        </w:rPr>
        <w:t>letra</w:t>
      </w:r>
      <w:r w:rsidR="00920780" w:rsidRPr="00740589">
        <w:rPr>
          <w:rFonts w:ascii="Times New Roman" w:hAnsi="Times New Roman" w:cs="Times New Roman"/>
          <w:sz w:val="24"/>
          <w:szCs w:val="24"/>
        </w:rPr>
        <w:t xml:space="preserve"> </w:t>
      </w:r>
      <w:r w:rsidR="00740589" w:rsidRPr="00740589">
        <w:rPr>
          <w:rFonts w:ascii="Times New Roman" w:hAnsi="Times New Roman" w:cs="Times New Roman"/>
          <w:sz w:val="24"/>
          <w:szCs w:val="24"/>
        </w:rPr>
        <w:t>h, señala</w:t>
      </w:r>
      <w:r w:rsidR="00740589">
        <w:rPr>
          <w:rFonts w:ascii="Times New Roman" w:hAnsi="Times New Roman" w:cs="Times New Roman"/>
          <w:sz w:val="24"/>
          <w:szCs w:val="24"/>
        </w:rPr>
        <w:t>:</w:t>
      </w:r>
      <w:r w:rsidR="00740589" w:rsidRPr="00740589">
        <w:rPr>
          <w:rFonts w:ascii="Times New Roman" w:hAnsi="Times New Roman" w:cs="Times New Roman"/>
          <w:sz w:val="24"/>
          <w:szCs w:val="24"/>
        </w:rPr>
        <w:t xml:space="preserve"> “Toda persona inculpada de delito tiene derecho a que se presuma su inocencia mientras no se establezca legalmente su culpabilidad. Durante el proceso, toda persona tiene derecho, en plena igualdad, a las siguientes garantías mínimas: (...) h. Derecho de recurrir el fall</w:t>
      </w:r>
      <w:r w:rsidR="00740589">
        <w:rPr>
          <w:rFonts w:ascii="Times New Roman" w:hAnsi="Times New Roman" w:cs="Times New Roman"/>
          <w:sz w:val="24"/>
          <w:szCs w:val="24"/>
        </w:rPr>
        <w:t>o ante juez o tribunal superior</w:t>
      </w:r>
      <w:proofErr w:type="gramStart"/>
      <w:r w:rsidR="00740589">
        <w:rPr>
          <w:rFonts w:ascii="Times New Roman" w:hAnsi="Times New Roman" w:cs="Times New Roman"/>
          <w:sz w:val="24"/>
          <w:szCs w:val="24"/>
        </w:rPr>
        <w:t>.</w:t>
      </w:r>
      <w:r w:rsidR="00740589" w:rsidRPr="00740589">
        <w:rPr>
          <w:rFonts w:ascii="Times New Roman" w:hAnsi="Times New Roman" w:cs="Times New Roman"/>
          <w:sz w:val="24"/>
          <w:szCs w:val="24"/>
        </w:rPr>
        <w:t>”</w:t>
      </w:r>
      <w:r w:rsidR="00740589">
        <w:rPr>
          <w:rFonts w:ascii="Times New Roman" w:hAnsi="Times New Roman" w:cs="Times New Roman"/>
          <w:sz w:val="24"/>
          <w:szCs w:val="24"/>
        </w:rPr>
        <w:t>(</w:t>
      </w:r>
      <w:proofErr w:type="gramEnd"/>
      <w:r w:rsidR="00CF1C7E">
        <w:rPr>
          <w:rFonts w:ascii="Times New Roman" w:hAnsi="Times New Roman" w:cs="Times New Roman"/>
          <w:sz w:val="24"/>
          <w:szCs w:val="24"/>
        </w:rPr>
        <w:t>Convención</w:t>
      </w:r>
      <w:r w:rsidR="00740589">
        <w:rPr>
          <w:rFonts w:ascii="Times New Roman" w:hAnsi="Times New Roman" w:cs="Times New Roman"/>
          <w:sz w:val="24"/>
          <w:szCs w:val="24"/>
        </w:rPr>
        <w:t xml:space="preserve"> Americana de Derechos Humanos</w:t>
      </w:r>
      <w:r w:rsidR="00774951">
        <w:rPr>
          <w:rFonts w:ascii="Times New Roman" w:hAnsi="Times New Roman" w:cs="Times New Roman"/>
          <w:sz w:val="24"/>
          <w:szCs w:val="24"/>
        </w:rPr>
        <w:t>, 1978</w:t>
      </w:r>
      <w:r w:rsidR="00740589">
        <w:rPr>
          <w:rFonts w:ascii="Times New Roman" w:hAnsi="Times New Roman" w:cs="Times New Roman"/>
          <w:sz w:val="24"/>
          <w:szCs w:val="24"/>
        </w:rPr>
        <w:t xml:space="preserve">, </w:t>
      </w:r>
      <w:r w:rsidR="00774951">
        <w:rPr>
          <w:rFonts w:ascii="Times New Roman" w:hAnsi="Times New Roman" w:cs="Times New Roman"/>
          <w:sz w:val="24"/>
          <w:szCs w:val="24"/>
        </w:rPr>
        <w:t>p.5)</w:t>
      </w:r>
    </w:p>
    <w:p w14:paraId="06FD35F1" w14:textId="323AFD49" w:rsidR="00D95D02" w:rsidRPr="006A5283" w:rsidRDefault="00D95D02"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En nuestro país un proceso penal se estructura en tres etapas: pre procesal (investigación previa) que no es una etapa en sí</w:t>
      </w:r>
      <w:r>
        <w:rPr>
          <w:rFonts w:ascii="Times New Roman" w:hAnsi="Times New Roman" w:cs="Times New Roman"/>
          <w:sz w:val="24"/>
          <w:szCs w:val="24"/>
        </w:rPr>
        <w:t xml:space="preserve"> sino una investigación a cargo de </w:t>
      </w:r>
      <w:proofErr w:type="gramStart"/>
      <w:r>
        <w:rPr>
          <w:rFonts w:ascii="Times New Roman" w:hAnsi="Times New Roman" w:cs="Times New Roman"/>
          <w:sz w:val="24"/>
          <w:szCs w:val="24"/>
        </w:rPr>
        <w:t>Fiscalía General</w:t>
      </w:r>
      <w:proofErr w:type="gramEnd"/>
      <w:r>
        <w:rPr>
          <w:rFonts w:ascii="Times New Roman" w:hAnsi="Times New Roman" w:cs="Times New Roman"/>
          <w:sz w:val="24"/>
          <w:szCs w:val="24"/>
        </w:rPr>
        <w:t xml:space="preserve"> del Estado</w:t>
      </w:r>
      <w:r w:rsidRPr="006A5283">
        <w:rPr>
          <w:rFonts w:ascii="Times New Roman" w:hAnsi="Times New Roman" w:cs="Times New Roman"/>
          <w:sz w:val="24"/>
          <w:szCs w:val="24"/>
        </w:rPr>
        <w:t>,</w:t>
      </w:r>
      <w:r>
        <w:rPr>
          <w:rFonts w:ascii="Times New Roman" w:hAnsi="Times New Roman" w:cs="Times New Roman"/>
          <w:sz w:val="24"/>
          <w:szCs w:val="24"/>
        </w:rPr>
        <w:t xml:space="preserve"> </w:t>
      </w:r>
      <w:r w:rsidRPr="006A5283">
        <w:rPr>
          <w:rFonts w:ascii="Times New Roman" w:hAnsi="Times New Roman" w:cs="Times New Roman"/>
          <w:sz w:val="24"/>
          <w:szCs w:val="24"/>
        </w:rPr>
        <w:t>la etapa de instrucción fiscal, de evaluación y preparatoria de juicio y el juico.</w:t>
      </w:r>
    </w:p>
    <w:p w14:paraId="31DF324E" w14:textId="46957C0A" w:rsidR="00D95D02" w:rsidRPr="006A5283" w:rsidRDefault="00D95D02"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En la etapa de juicio es donde se presentan ante el juzgador, todos los medios probatorios (documentales, testimoniales y periciales) que se consideran necesarios para probar la materialidad de la infracción y la responsabilidad penal del procesado, a fin de que emita la correspondiente sentencia, ya sea absolutoria o condenatoria</w:t>
      </w:r>
      <w:r w:rsidR="00920780">
        <w:rPr>
          <w:rFonts w:ascii="Times New Roman" w:hAnsi="Times New Roman" w:cs="Times New Roman"/>
          <w:sz w:val="24"/>
          <w:szCs w:val="24"/>
        </w:rPr>
        <w:t xml:space="preserve">, la cual debe encontrarse </w:t>
      </w:r>
      <w:r w:rsidRPr="006A5283">
        <w:rPr>
          <w:rFonts w:ascii="Times New Roman" w:hAnsi="Times New Roman" w:cs="Times New Roman"/>
          <w:sz w:val="24"/>
          <w:szCs w:val="24"/>
        </w:rPr>
        <w:t>debidamente motivada</w:t>
      </w:r>
      <w:r>
        <w:rPr>
          <w:rFonts w:ascii="Times New Roman" w:hAnsi="Times New Roman" w:cs="Times New Roman"/>
          <w:sz w:val="24"/>
          <w:szCs w:val="24"/>
        </w:rPr>
        <w:t>.</w:t>
      </w:r>
      <w:r w:rsidRPr="006A5283">
        <w:rPr>
          <w:rFonts w:ascii="Times New Roman" w:hAnsi="Times New Roman" w:cs="Times New Roman"/>
          <w:sz w:val="24"/>
          <w:szCs w:val="24"/>
        </w:rPr>
        <w:t xml:space="preserve"> De esta sentencia se puede recurrir con los recursos como apelación revisión, hecho o casación.</w:t>
      </w:r>
    </w:p>
    <w:p w14:paraId="0F2813BD" w14:textId="43B5A1C8" w:rsidR="008A382A" w:rsidRPr="000C4C3A" w:rsidRDefault="00B7307F" w:rsidP="00B21A77">
      <w:pPr>
        <w:spacing w:line="360" w:lineRule="auto"/>
        <w:jc w:val="both"/>
        <w:rPr>
          <w:rFonts w:ascii="Times New Roman" w:hAnsi="Times New Roman" w:cs="Times New Roman"/>
          <w:sz w:val="24"/>
          <w:szCs w:val="24"/>
        </w:rPr>
      </w:pPr>
      <w:r w:rsidRPr="00043CEC">
        <w:rPr>
          <w:rFonts w:ascii="Times New Roman" w:hAnsi="Times New Roman" w:cs="Times New Roman"/>
          <w:sz w:val="24"/>
          <w:szCs w:val="24"/>
        </w:rPr>
        <w:t xml:space="preserve">Para </w:t>
      </w:r>
      <w:r w:rsidR="00C85074">
        <w:rPr>
          <w:rFonts w:ascii="Times New Roman" w:hAnsi="Times New Roman" w:cs="Times New Roman"/>
          <w:sz w:val="24"/>
          <w:szCs w:val="24"/>
        </w:rPr>
        <w:t>garantizar el derecho a recurrir</w:t>
      </w:r>
      <w:r w:rsidRPr="00043CEC">
        <w:rPr>
          <w:rFonts w:ascii="Times New Roman" w:hAnsi="Times New Roman" w:cs="Times New Roman"/>
          <w:sz w:val="24"/>
          <w:szCs w:val="24"/>
        </w:rPr>
        <w:t xml:space="preserve">, sin referirse a qué tipo de recursos, la Corte Interamericana señala que es imperioso que exista la posibilidad de una revisión por parte de un juez o tribunal superior. Esta revisión debe permitir un examen integral de la resolución cuestionada, con el propósito de verificar si en el proceso judicial se respetaron plenamente las garantías del debido proceso. Dicho control no puede limitarse a aspectos meramente formales, sino que debe incluir una evaluación sustantiva que asegure la legalidad, la motivación de las decisiones y la protección efectiva de los derechos fundamentales de las partes involucradas. </w:t>
      </w:r>
      <w:r w:rsidR="000C56A8" w:rsidRPr="00043CEC">
        <w:rPr>
          <w:rFonts w:ascii="Times New Roman" w:hAnsi="Times New Roman" w:cs="Times New Roman"/>
          <w:sz w:val="24"/>
          <w:szCs w:val="24"/>
        </w:rPr>
        <w:t xml:space="preserve">(Corte Interamericana de Derechos Humanos, </w:t>
      </w:r>
      <w:r w:rsidR="001E784C" w:rsidRPr="00043CEC">
        <w:rPr>
          <w:rFonts w:ascii="Times New Roman" w:hAnsi="Times New Roman" w:cs="Times New Roman"/>
          <w:sz w:val="24"/>
          <w:szCs w:val="24"/>
        </w:rPr>
        <w:t xml:space="preserve">Sentencia </w:t>
      </w:r>
      <w:r w:rsidR="000C56A8" w:rsidRPr="00043CEC">
        <w:rPr>
          <w:rFonts w:ascii="Times New Roman" w:hAnsi="Times New Roman" w:cs="Times New Roman"/>
          <w:sz w:val="24"/>
          <w:szCs w:val="24"/>
        </w:rPr>
        <w:t>Caso Herrera Ulloa Vs. Costa Rica</w:t>
      </w:r>
      <w:r w:rsidR="00043CEC" w:rsidRPr="00043CEC">
        <w:rPr>
          <w:rFonts w:ascii="Times New Roman" w:hAnsi="Times New Roman" w:cs="Times New Roman"/>
          <w:sz w:val="24"/>
          <w:szCs w:val="24"/>
        </w:rPr>
        <w:t xml:space="preserve">, </w:t>
      </w:r>
      <w:r w:rsidR="000C56A8" w:rsidRPr="00043CEC">
        <w:rPr>
          <w:rFonts w:ascii="Times New Roman" w:hAnsi="Times New Roman" w:cs="Times New Roman"/>
          <w:sz w:val="24"/>
          <w:szCs w:val="24"/>
        </w:rPr>
        <w:t>2004</w:t>
      </w:r>
      <w:r w:rsidR="00043CEC" w:rsidRPr="00043CEC">
        <w:rPr>
          <w:rFonts w:ascii="Times New Roman" w:hAnsi="Times New Roman" w:cs="Times New Roman"/>
          <w:sz w:val="24"/>
          <w:szCs w:val="24"/>
        </w:rPr>
        <w:t>, párrafos 158-159, pp.81-82,</w:t>
      </w:r>
      <w:r w:rsidR="000C56A8" w:rsidRPr="00043CEC">
        <w:rPr>
          <w:rFonts w:ascii="Times New Roman" w:hAnsi="Times New Roman" w:cs="Times New Roman"/>
          <w:sz w:val="24"/>
          <w:szCs w:val="24"/>
        </w:rPr>
        <w:t>)</w:t>
      </w:r>
    </w:p>
    <w:p w14:paraId="3A930B5B" w14:textId="041C6453" w:rsidR="008A382A" w:rsidRPr="006A5283" w:rsidRDefault="008A382A"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Haciendo referencia al recurso de apelación</w:t>
      </w:r>
      <w:r w:rsidR="0059175F" w:rsidRPr="006A5283">
        <w:rPr>
          <w:rFonts w:ascii="Times New Roman" w:hAnsi="Times New Roman" w:cs="Times New Roman"/>
          <w:sz w:val="24"/>
          <w:szCs w:val="24"/>
        </w:rPr>
        <w:t xml:space="preserve"> establecido en la norma penal ecuatoriana, este</w:t>
      </w:r>
      <w:r w:rsidRPr="006A5283">
        <w:rPr>
          <w:rFonts w:ascii="Times New Roman" w:hAnsi="Times New Roman" w:cs="Times New Roman"/>
          <w:sz w:val="24"/>
          <w:szCs w:val="24"/>
        </w:rPr>
        <w:t xml:space="preserve"> no tiene los mi</w:t>
      </w:r>
      <w:r w:rsidR="00C85074">
        <w:rPr>
          <w:rFonts w:ascii="Times New Roman" w:hAnsi="Times New Roman" w:cs="Times New Roman"/>
          <w:sz w:val="24"/>
          <w:szCs w:val="24"/>
        </w:rPr>
        <w:t>s</w:t>
      </w:r>
      <w:r w:rsidRPr="006A5283">
        <w:rPr>
          <w:rFonts w:ascii="Times New Roman" w:hAnsi="Times New Roman" w:cs="Times New Roman"/>
          <w:sz w:val="24"/>
          <w:szCs w:val="24"/>
        </w:rPr>
        <w:t>mos estándares para su interposición, como sucede con el recurso de casación donde deben cumplirse los requisitos del artículo 657 del</w:t>
      </w:r>
      <w:r w:rsidR="00B7307F">
        <w:rPr>
          <w:rFonts w:ascii="Times New Roman" w:hAnsi="Times New Roman" w:cs="Times New Roman"/>
          <w:sz w:val="24"/>
          <w:szCs w:val="24"/>
        </w:rPr>
        <w:t xml:space="preserve"> Código Orgánico Integral Penal.</w:t>
      </w:r>
    </w:p>
    <w:p w14:paraId="577D98F2" w14:textId="2A0C3F16" w:rsidR="008E5A34" w:rsidRDefault="00786C6C" w:rsidP="00B21A77">
      <w:pPr>
        <w:spacing w:line="360" w:lineRule="auto"/>
        <w:jc w:val="both"/>
        <w:rPr>
          <w:rFonts w:ascii="Times New Roman" w:hAnsi="Times New Roman" w:cs="Times New Roman"/>
          <w:sz w:val="24"/>
          <w:szCs w:val="24"/>
        </w:rPr>
      </w:pPr>
      <w:r w:rsidRPr="006A5283">
        <w:rPr>
          <w:rFonts w:ascii="Times New Roman" w:hAnsi="Times New Roman" w:cs="Times New Roman"/>
          <w:sz w:val="24"/>
          <w:szCs w:val="24"/>
        </w:rPr>
        <w:t xml:space="preserve">De lo expuesto </w:t>
      </w:r>
      <w:r w:rsidRPr="003416ED">
        <w:rPr>
          <w:rFonts w:ascii="Times New Roman" w:hAnsi="Times New Roman" w:cs="Times New Roman"/>
          <w:sz w:val="24"/>
          <w:szCs w:val="24"/>
        </w:rPr>
        <w:t>puede afirmarse que el derecho a recurrir en casación constituye un mecanismo de control jurisdiccional orientado a la revisión de las sentencias</w:t>
      </w:r>
      <w:r>
        <w:rPr>
          <w:rFonts w:ascii="Times New Roman" w:hAnsi="Times New Roman" w:cs="Times New Roman"/>
          <w:sz w:val="24"/>
          <w:szCs w:val="24"/>
        </w:rPr>
        <w:t xml:space="preserve">, </w:t>
      </w:r>
      <w:r w:rsidRPr="003416ED">
        <w:rPr>
          <w:rFonts w:ascii="Times New Roman" w:hAnsi="Times New Roman" w:cs="Times New Roman"/>
          <w:sz w:val="24"/>
          <w:szCs w:val="24"/>
        </w:rPr>
        <w:t xml:space="preserve">emitidas en instancias inferiores, con el fin de determinar si en su emisión se ha producido una vulneración a la ley. Este recurso no se dirige a una nueva valoración de los hechos o de la prueba, sino a un examen jurídico que permita identificar </w:t>
      </w:r>
      <w:r>
        <w:rPr>
          <w:rFonts w:ascii="Times New Roman" w:hAnsi="Times New Roman" w:cs="Times New Roman"/>
          <w:sz w:val="24"/>
          <w:szCs w:val="24"/>
        </w:rPr>
        <w:t xml:space="preserve">vulneración a la ley por </w:t>
      </w:r>
      <w:r w:rsidRPr="003416ED">
        <w:rPr>
          <w:rFonts w:ascii="Times New Roman" w:hAnsi="Times New Roman" w:cs="Times New Roman"/>
          <w:sz w:val="24"/>
          <w:szCs w:val="24"/>
        </w:rPr>
        <w:t>errores en la interpretación</w:t>
      </w:r>
      <w:r>
        <w:rPr>
          <w:rFonts w:ascii="Times New Roman" w:hAnsi="Times New Roman" w:cs="Times New Roman"/>
          <w:sz w:val="24"/>
          <w:szCs w:val="24"/>
        </w:rPr>
        <w:t xml:space="preserve"> o</w:t>
      </w:r>
      <w:r w:rsidRPr="003416ED">
        <w:rPr>
          <w:rFonts w:ascii="Times New Roman" w:hAnsi="Times New Roman" w:cs="Times New Roman"/>
          <w:sz w:val="24"/>
          <w:szCs w:val="24"/>
        </w:rPr>
        <w:t xml:space="preserve"> aplicación </w:t>
      </w:r>
      <w:r>
        <w:rPr>
          <w:rFonts w:ascii="Times New Roman" w:hAnsi="Times New Roman" w:cs="Times New Roman"/>
          <w:sz w:val="24"/>
          <w:szCs w:val="24"/>
        </w:rPr>
        <w:t>de esta</w:t>
      </w:r>
      <w:r w:rsidRPr="003416ED">
        <w:rPr>
          <w:rFonts w:ascii="Times New Roman" w:hAnsi="Times New Roman" w:cs="Times New Roman"/>
          <w:sz w:val="24"/>
          <w:szCs w:val="24"/>
        </w:rPr>
        <w:t>. En este sentido, la casación cumple una función esencial dentro del sistema de garantías procesales, al permitir la corrección de decisiones judiciales que, por haberse dictado con base en un uso incorrecto del marco normativo, pueden afectar gravemente los derechos de las partes</w:t>
      </w:r>
      <w:r w:rsidR="00C85074">
        <w:rPr>
          <w:rFonts w:ascii="Times New Roman" w:hAnsi="Times New Roman" w:cs="Times New Roman"/>
          <w:sz w:val="24"/>
          <w:szCs w:val="24"/>
        </w:rPr>
        <w:t>.</w:t>
      </w:r>
    </w:p>
    <w:p w14:paraId="03EE6C0E" w14:textId="77777777" w:rsidR="008E5A34" w:rsidRPr="006A5283" w:rsidRDefault="008E5A34" w:rsidP="00B21A77">
      <w:pPr>
        <w:spacing w:line="360" w:lineRule="auto"/>
        <w:rPr>
          <w:rFonts w:ascii="Times New Roman" w:hAnsi="Times New Roman" w:cs="Times New Roman"/>
          <w:sz w:val="24"/>
          <w:szCs w:val="24"/>
        </w:rPr>
      </w:pPr>
      <w:r w:rsidRPr="006A5283">
        <w:rPr>
          <w:rFonts w:ascii="Times New Roman" w:hAnsi="Times New Roman" w:cs="Times New Roman"/>
          <w:b/>
          <w:sz w:val="24"/>
          <w:szCs w:val="24"/>
        </w:rPr>
        <w:t>Derecho a la defensa</w:t>
      </w:r>
      <w:r w:rsidRPr="006A5283">
        <w:rPr>
          <w:rFonts w:ascii="Times New Roman" w:hAnsi="Times New Roman" w:cs="Times New Roman"/>
          <w:sz w:val="24"/>
          <w:szCs w:val="24"/>
        </w:rPr>
        <w:t>.</w:t>
      </w:r>
    </w:p>
    <w:p w14:paraId="133E0865" w14:textId="7991F5A9" w:rsidR="008E5A34" w:rsidRDefault="00774951" w:rsidP="00B21A77">
      <w:pPr>
        <w:pStyle w:val="Default"/>
        <w:spacing w:line="360" w:lineRule="auto"/>
        <w:jc w:val="both"/>
      </w:pPr>
      <w:r w:rsidRPr="008576B1">
        <w:t>El derecho a la defensa</w:t>
      </w:r>
      <w:r w:rsidR="005868A7">
        <w:t xml:space="preserve"> </w:t>
      </w:r>
      <w:r w:rsidR="005868A7" w:rsidRPr="006A5283">
        <w:t>es inherente al ser humano, ya que nace con la persona misma, por su condición como tal</w:t>
      </w:r>
      <w:r w:rsidR="005868A7">
        <w:t>.</w:t>
      </w:r>
      <w:r w:rsidR="005868A7" w:rsidRPr="006A5283">
        <w:t xml:space="preserve"> Lavinia-Mihaela et al. (2011)</w:t>
      </w:r>
      <w:r w:rsidR="001E784C">
        <w:t>,</w:t>
      </w:r>
      <w:r w:rsidR="005868A7" w:rsidRPr="006A5283">
        <w:t xml:space="preserve"> refieren que los derechos humanos nacen con la persona y no se los puede deslindar o separar de ellos, por tal razón la importancia que tiene dentro del ordenamiento jurídico de los estados. </w:t>
      </w:r>
      <w:r w:rsidR="005868A7">
        <w:t>De tal forma que el derecho a la defensa</w:t>
      </w:r>
      <w:r w:rsidRPr="008576B1">
        <w:t xml:space="preserve"> constituye uno de los pilares fundamentales del ordenamiento jurídico, reconocido de manera expresa en diversos instrumentos internacionales de derechos humanos y consagrados en la mayoría de las constituciones modernas. Se trata de una garantía esencial del debido proceso, que asegura el ejercicio pleno de sus derechos, permitiéndole responder, impugnar y participar en el desarrollo de</w:t>
      </w:r>
      <w:r>
        <w:t xml:space="preserve"> un</w:t>
      </w:r>
      <w:r w:rsidRPr="008576B1">
        <w:t xml:space="preserve"> proceso </w:t>
      </w:r>
      <w:r>
        <w:t>instaurado en su contra</w:t>
      </w:r>
      <w:r w:rsidRPr="008576B1">
        <w:t xml:space="preserve">. En este contexto, su respeto y aplicación efectiva reviste especial importancia en el ámbito del derecho penal, </w:t>
      </w:r>
      <w:r w:rsidR="00C85074">
        <w:t>considerando que se encuentran en</w:t>
      </w:r>
      <w:r w:rsidRPr="008576B1">
        <w:t xml:space="preserve"> juego bienes jurídicos tan relevantes como la libertad personal, la presunción de inocencia y la dignidad humana</w:t>
      </w:r>
      <w:r>
        <w:t>.</w:t>
      </w:r>
    </w:p>
    <w:p w14:paraId="4DD4CC7A" w14:textId="58555CC2" w:rsidR="008E5A34" w:rsidRPr="006A5283" w:rsidRDefault="008E5A34" w:rsidP="00B21A77">
      <w:pPr>
        <w:spacing w:line="360" w:lineRule="auto"/>
        <w:jc w:val="both"/>
        <w:rPr>
          <w:rFonts w:ascii="Times New Roman" w:hAnsi="Times New Roman" w:cs="Times New Roman"/>
          <w:bCs/>
          <w:sz w:val="24"/>
          <w:szCs w:val="24"/>
        </w:rPr>
      </w:pPr>
      <w:r w:rsidRPr="006A5283">
        <w:rPr>
          <w:rFonts w:ascii="Times New Roman" w:hAnsi="Times New Roman" w:cs="Times New Roman"/>
          <w:sz w:val="24"/>
          <w:szCs w:val="24"/>
        </w:rPr>
        <w:t>En este orden</w:t>
      </w:r>
      <w:r w:rsidR="00774951">
        <w:rPr>
          <w:rFonts w:ascii="Times New Roman" w:hAnsi="Times New Roman" w:cs="Times New Roman"/>
          <w:sz w:val="24"/>
          <w:szCs w:val="24"/>
        </w:rPr>
        <w:t xml:space="preserve"> de ideas</w:t>
      </w:r>
      <w:r w:rsidRPr="006A5283">
        <w:rPr>
          <w:rFonts w:ascii="Times New Roman" w:hAnsi="Times New Roman" w:cs="Times New Roman"/>
          <w:sz w:val="24"/>
          <w:szCs w:val="24"/>
        </w:rPr>
        <w:t>, la Convención Americana de Derechos Humanos</w:t>
      </w:r>
      <w:r w:rsidR="00D11BBC">
        <w:rPr>
          <w:rFonts w:ascii="Times New Roman" w:hAnsi="Times New Roman" w:cs="Times New Roman"/>
          <w:sz w:val="24"/>
          <w:szCs w:val="24"/>
        </w:rPr>
        <w:t>,</w:t>
      </w:r>
      <w:r w:rsidRPr="006A5283">
        <w:rPr>
          <w:rFonts w:ascii="Times New Roman" w:hAnsi="Times New Roman" w:cs="Times New Roman"/>
          <w:sz w:val="24"/>
          <w:szCs w:val="24"/>
        </w:rPr>
        <w:t xml:space="preserve"> establece en su artículo 8 </w:t>
      </w:r>
      <w:r w:rsidR="00C85074">
        <w:rPr>
          <w:rFonts w:ascii="Times New Roman" w:hAnsi="Times New Roman" w:cs="Times New Roman"/>
          <w:sz w:val="24"/>
          <w:szCs w:val="24"/>
        </w:rPr>
        <w:t>número</w:t>
      </w:r>
      <w:r w:rsidR="00C85074" w:rsidRPr="006A5283">
        <w:rPr>
          <w:rFonts w:ascii="Times New Roman" w:hAnsi="Times New Roman" w:cs="Times New Roman"/>
          <w:sz w:val="24"/>
          <w:szCs w:val="24"/>
        </w:rPr>
        <w:t xml:space="preserve"> </w:t>
      </w:r>
      <w:r w:rsidRPr="006A5283">
        <w:rPr>
          <w:rFonts w:ascii="Times New Roman" w:hAnsi="Times New Roman" w:cs="Times New Roman"/>
          <w:sz w:val="24"/>
          <w:szCs w:val="24"/>
        </w:rPr>
        <w:t>1</w:t>
      </w:r>
      <w:r w:rsidR="005868A7">
        <w:rPr>
          <w:rFonts w:ascii="Times New Roman" w:hAnsi="Times New Roman" w:cs="Times New Roman"/>
          <w:sz w:val="24"/>
          <w:szCs w:val="24"/>
        </w:rPr>
        <w:t>,</w:t>
      </w:r>
      <w:r w:rsidRPr="006A5283">
        <w:rPr>
          <w:rFonts w:ascii="Times New Roman" w:hAnsi="Times New Roman" w:cs="Times New Roman"/>
          <w:sz w:val="24"/>
          <w:szCs w:val="24"/>
        </w:rPr>
        <w:t xml:space="preserve"> </w:t>
      </w:r>
      <w:r w:rsidR="005868A7">
        <w:rPr>
          <w:rFonts w:ascii="Times New Roman" w:hAnsi="Times New Roman" w:cs="Times New Roman"/>
          <w:sz w:val="24"/>
          <w:szCs w:val="24"/>
        </w:rPr>
        <w:t>el</w:t>
      </w:r>
      <w:r w:rsidR="005868A7" w:rsidRPr="006A5283">
        <w:rPr>
          <w:rFonts w:ascii="Times New Roman" w:hAnsi="Times New Roman" w:cs="Times New Roman"/>
          <w:sz w:val="24"/>
          <w:szCs w:val="24"/>
        </w:rPr>
        <w:t xml:space="preserve"> </w:t>
      </w:r>
      <w:r w:rsidRPr="006A5283">
        <w:rPr>
          <w:rFonts w:ascii="Times New Roman" w:hAnsi="Times New Roman" w:cs="Times New Roman"/>
          <w:sz w:val="24"/>
          <w:szCs w:val="24"/>
        </w:rPr>
        <w:t>derecho que tiene toda persona</w:t>
      </w:r>
      <w:r w:rsidR="005868A7">
        <w:rPr>
          <w:rFonts w:ascii="Times New Roman" w:hAnsi="Times New Roman" w:cs="Times New Roman"/>
          <w:sz w:val="24"/>
          <w:szCs w:val="24"/>
        </w:rPr>
        <w:t xml:space="preserve"> a</w:t>
      </w:r>
      <w:r w:rsidRPr="006A5283">
        <w:rPr>
          <w:rFonts w:ascii="Times New Roman" w:hAnsi="Times New Roman" w:cs="Times New Roman"/>
          <w:sz w:val="24"/>
          <w:szCs w:val="24"/>
        </w:rPr>
        <w:t xml:space="preserve"> ser oída, con las debidas garantías y dentro de un plazo razonable, por un juez o tribunal competente, independiente e imparcial, establecido con anterioridad por la ley, en la sustanciación de cualquier acusación penal formulada contra ella </w:t>
      </w:r>
      <w:r w:rsidRPr="006A5283">
        <w:rPr>
          <w:rFonts w:ascii="Times New Roman" w:hAnsi="Times New Roman" w:cs="Times New Roman"/>
          <w:bCs/>
          <w:sz w:val="24"/>
          <w:szCs w:val="24"/>
        </w:rPr>
        <w:t>(Verdugo &amp; Ramírez, 2022, pp. 655-682)</w:t>
      </w:r>
      <w:r w:rsidR="005868A7">
        <w:rPr>
          <w:rFonts w:ascii="Times New Roman" w:hAnsi="Times New Roman" w:cs="Times New Roman"/>
          <w:bCs/>
          <w:sz w:val="24"/>
          <w:szCs w:val="24"/>
        </w:rPr>
        <w:t>.</w:t>
      </w:r>
      <w:r w:rsidRPr="006A5283">
        <w:rPr>
          <w:rFonts w:ascii="Times New Roman" w:hAnsi="Times New Roman" w:cs="Times New Roman"/>
          <w:bCs/>
          <w:sz w:val="24"/>
          <w:szCs w:val="24"/>
        </w:rPr>
        <w:t xml:space="preserve">  </w:t>
      </w:r>
    </w:p>
    <w:p w14:paraId="18678C49" w14:textId="67108048" w:rsidR="008E5A34" w:rsidRDefault="008E5A34" w:rsidP="00B21A77">
      <w:pPr>
        <w:pStyle w:val="Default"/>
        <w:spacing w:line="360" w:lineRule="auto"/>
        <w:jc w:val="both"/>
      </w:pPr>
      <w:r w:rsidRPr="006A5283">
        <w:t>Una de las garantías al derecho a la defensa que establece la Constitución de la República del Ecuador</w:t>
      </w:r>
      <w:r w:rsidR="001E784C">
        <w:t xml:space="preserve"> (2008),</w:t>
      </w:r>
      <w:r w:rsidRPr="006A5283">
        <w:t xml:space="preserve"> en su artículo 76, numeral 7, literal b) es contar con el tiempo adecuado</w:t>
      </w:r>
      <w:r w:rsidRPr="008E5A34">
        <w:t xml:space="preserve"> para preparar la defensa, es decir, toda persona que se encuentre en un proceso judicial debe contar con el espacio temporal suficiente y necesario, para ejercer su legítimo derecho a defenderse, frente a las acusaciones que existieran en su contra, la cual busca desvirtuar su presunción de inocencia</w:t>
      </w:r>
      <w:r w:rsidR="001E784C">
        <w:t>.</w:t>
      </w:r>
    </w:p>
    <w:p w14:paraId="54A67E14" w14:textId="2D7ACA3C" w:rsidR="006A5283" w:rsidRDefault="00DB58E4" w:rsidP="00B21A77">
      <w:pPr>
        <w:pStyle w:val="Default"/>
        <w:spacing w:line="360" w:lineRule="auto"/>
        <w:jc w:val="both"/>
      </w:pPr>
      <w:r>
        <w:t>Finalmente</w:t>
      </w:r>
      <w:r w:rsidRPr="00DB58E4">
        <w:t xml:space="preserve">, el derecho a la defensa </w:t>
      </w:r>
      <w:r>
        <w:t xml:space="preserve">se </w:t>
      </w:r>
      <w:r w:rsidRPr="00DB58E4">
        <w:t>constituye</w:t>
      </w:r>
      <w:r>
        <w:t xml:space="preserve"> como</w:t>
      </w:r>
      <w:r w:rsidRPr="00DB58E4">
        <w:t xml:space="preserve"> un componente esencial del debido proceso, cuya vigencia garantiza no solo el respeto a la dignidad humana, sino también la protección efectiva de otros derechos fundamentales en el marco de un proceso</w:t>
      </w:r>
      <w:r>
        <w:t xml:space="preserve"> en el que se encuentren ventilando los derechos de la persona procesada</w:t>
      </w:r>
      <w:r w:rsidRPr="00DB58E4">
        <w:t xml:space="preserve">. Su reconocimiento en instrumentos internacionales, como la Convención Americana sobre Derechos Humanos, así como en la Constitución de la República del Ecuador, evidencia su carácter universal y vinculante. Garantías como el acceso a una defensa adecuada, la posibilidad de impugnar decisiones judiciales y el tiempo suficiente para preparar los argumentos de defensa, </w:t>
      </w:r>
      <w:r>
        <w:t>entre otras, son parte fundamental del derecho a la defensa</w:t>
      </w:r>
      <w:r w:rsidRPr="00DB58E4">
        <w:t xml:space="preserve"> que aseguran un juicio just</w:t>
      </w:r>
      <w:r>
        <w:t>o</w:t>
      </w:r>
      <w:r w:rsidRPr="00DB58E4">
        <w:t>. En este sentido, cualquier vulneración al derecho a la defensa representa una amenaza directa a la legitimidad del sistema de justicia y al estado constitucional de derechos y justicia.</w:t>
      </w:r>
    </w:p>
    <w:p w14:paraId="5A4E75F6" w14:textId="04B8F7E8" w:rsidR="00BB71EE" w:rsidRDefault="00BB71EE" w:rsidP="00B21A77">
      <w:pPr>
        <w:pStyle w:val="Default"/>
        <w:spacing w:line="360" w:lineRule="auto"/>
        <w:jc w:val="both"/>
        <w:rPr>
          <w:b/>
        </w:rPr>
      </w:pPr>
      <w:r w:rsidRPr="00AD07FE">
        <w:rPr>
          <w:b/>
        </w:rPr>
        <w:t>Análisis de la Resolución</w:t>
      </w:r>
      <w:r w:rsidR="006F492C">
        <w:rPr>
          <w:b/>
        </w:rPr>
        <w:t xml:space="preserve"> No.</w:t>
      </w:r>
      <w:r w:rsidRPr="00AD07FE">
        <w:rPr>
          <w:b/>
        </w:rPr>
        <w:t xml:space="preserve"> 10-2015</w:t>
      </w:r>
      <w:r w:rsidR="00D11BBC">
        <w:rPr>
          <w:b/>
        </w:rPr>
        <w:t>.</w:t>
      </w:r>
      <w:r w:rsidR="00D11BBC" w:rsidRPr="00D11BBC">
        <w:rPr>
          <w:b/>
        </w:rPr>
        <w:t xml:space="preserve"> </w:t>
      </w:r>
      <w:r w:rsidR="00D11BBC">
        <w:rPr>
          <w:b/>
        </w:rPr>
        <w:t>Corte Nacional de Justicia.</w:t>
      </w:r>
    </w:p>
    <w:p w14:paraId="172F811D" w14:textId="77777777" w:rsidR="006A5283" w:rsidRDefault="006A5283" w:rsidP="00B21A77">
      <w:pPr>
        <w:spacing w:line="360" w:lineRule="auto"/>
        <w:ind w:firstLine="720"/>
        <w:jc w:val="both"/>
        <w:rPr>
          <w:rFonts w:ascii="Times New Roman" w:hAnsi="Times New Roman" w:cs="Times New Roman"/>
          <w:sz w:val="24"/>
          <w:szCs w:val="24"/>
        </w:rPr>
      </w:pPr>
    </w:p>
    <w:p w14:paraId="670386CA" w14:textId="18891731" w:rsidR="00460819" w:rsidRDefault="008E777B" w:rsidP="00B21A77">
      <w:pPr>
        <w:spacing w:line="360" w:lineRule="auto"/>
        <w:jc w:val="both"/>
        <w:rPr>
          <w:rFonts w:ascii="Times New Roman" w:hAnsi="Times New Roman" w:cs="Times New Roman"/>
          <w:sz w:val="24"/>
          <w:szCs w:val="24"/>
        </w:rPr>
      </w:pPr>
      <w:r w:rsidRPr="008E777B">
        <w:rPr>
          <w:rFonts w:ascii="Times New Roman" w:hAnsi="Times New Roman" w:cs="Times New Roman"/>
          <w:sz w:val="24"/>
          <w:szCs w:val="24"/>
        </w:rPr>
        <w:t xml:space="preserve">La Corte Nacional de Justicia, basada en la normativa contenida en el </w:t>
      </w:r>
      <w:r w:rsidR="00C27119" w:rsidRPr="008E777B">
        <w:rPr>
          <w:rFonts w:ascii="Times New Roman" w:hAnsi="Times New Roman" w:cs="Times New Roman"/>
          <w:sz w:val="24"/>
          <w:szCs w:val="24"/>
        </w:rPr>
        <w:t>artículo</w:t>
      </w:r>
      <w:r w:rsidRPr="008E777B">
        <w:rPr>
          <w:rFonts w:ascii="Times New Roman" w:hAnsi="Times New Roman" w:cs="Times New Roman"/>
          <w:sz w:val="24"/>
          <w:szCs w:val="24"/>
        </w:rPr>
        <w:t xml:space="preserve"> 185 de </w:t>
      </w:r>
      <w:r w:rsidR="00C27119">
        <w:rPr>
          <w:rFonts w:ascii="Times New Roman" w:hAnsi="Times New Roman" w:cs="Times New Roman"/>
          <w:sz w:val="24"/>
          <w:szCs w:val="24"/>
        </w:rPr>
        <w:t>la C</w:t>
      </w:r>
      <w:r w:rsidR="00460819">
        <w:rPr>
          <w:rFonts w:ascii="Times New Roman" w:hAnsi="Times New Roman" w:cs="Times New Roman"/>
          <w:sz w:val="24"/>
          <w:szCs w:val="24"/>
        </w:rPr>
        <w:t>onstitución de la República del Ecuador</w:t>
      </w:r>
      <w:r w:rsidRPr="008E777B">
        <w:rPr>
          <w:rFonts w:ascii="Times New Roman" w:hAnsi="Times New Roman" w:cs="Times New Roman"/>
          <w:sz w:val="24"/>
          <w:szCs w:val="24"/>
        </w:rPr>
        <w:t>, que le faculta desarrollar el sistema de precedentes jurisprudenciales fundamentado en los fallos de triple reit</w:t>
      </w:r>
      <w:r w:rsidR="00460819">
        <w:rPr>
          <w:rFonts w:ascii="Times New Roman" w:hAnsi="Times New Roman" w:cs="Times New Roman"/>
          <w:sz w:val="24"/>
          <w:szCs w:val="24"/>
        </w:rPr>
        <w:t>eración, expid</w:t>
      </w:r>
      <w:r w:rsidR="005868A7">
        <w:rPr>
          <w:rFonts w:ascii="Times New Roman" w:hAnsi="Times New Roman" w:cs="Times New Roman"/>
          <w:sz w:val="24"/>
          <w:szCs w:val="24"/>
        </w:rPr>
        <w:t>ió</w:t>
      </w:r>
      <w:r w:rsidR="00460819">
        <w:rPr>
          <w:rFonts w:ascii="Times New Roman" w:hAnsi="Times New Roman" w:cs="Times New Roman"/>
          <w:sz w:val="24"/>
          <w:szCs w:val="24"/>
        </w:rPr>
        <w:t xml:space="preserve"> la </w:t>
      </w:r>
      <w:r w:rsidRPr="008E777B">
        <w:rPr>
          <w:rFonts w:ascii="Times New Roman" w:hAnsi="Times New Roman" w:cs="Times New Roman"/>
          <w:sz w:val="24"/>
          <w:szCs w:val="24"/>
        </w:rPr>
        <w:t xml:space="preserve"> Resolución</w:t>
      </w:r>
      <w:r w:rsidR="00460819">
        <w:rPr>
          <w:rFonts w:ascii="Times New Roman" w:hAnsi="Times New Roman" w:cs="Times New Roman"/>
          <w:sz w:val="24"/>
          <w:szCs w:val="24"/>
        </w:rPr>
        <w:t xml:space="preserve"> No. 10-2015, publicada en el Registro Oficial </w:t>
      </w:r>
      <w:r w:rsidR="00460819" w:rsidRPr="00B13622">
        <w:rPr>
          <w:rFonts w:ascii="Times New Roman" w:hAnsi="Times New Roman" w:cs="Times New Roman"/>
          <w:sz w:val="24"/>
          <w:szCs w:val="24"/>
        </w:rPr>
        <w:t>563, de 12 de agosto de 2015</w:t>
      </w:r>
      <w:r w:rsidRPr="008E777B">
        <w:rPr>
          <w:rFonts w:ascii="Times New Roman" w:hAnsi="Times New Roman" w:cs="Times New Roman"/>
          <w:sz w:val="24"/>
          <w:szCs w:val="24"/>
        </w:rPr>
        <w:t>, sin embargo, a criterio de la Corte Constitucional, dicha resolución se la emit</w:t>
      </w:r>
      <w:r w:rsidR="005868A7">
        <w:rPr>
          <w:rFonts w:ascii="Times New Roman" w:hAnsi="Times New Roman" w:cs="Times New Roman"/>
          <w:sz w:val="24"/>
          <w:szCs w:val="24"/>
        </w:rPr>
        <w:t>ió</w:t>
      </w:r>
      <w:r w:rsidRPr="008E777B">
        <w:rPr>
          <w:rFonts w:ascii="Times New Roman" w:hAnsi="Times New Roman" w:cs="Times New Roman"/>
          <w:sz w:val="24"/>
          <w:szCs w:val="24"/>
        </w:rPr>
        <w:t xml:space="preserve"> </w:t>
      </w:r>
      <w:r w:rsidR="005868A7">
        <w:rPr>
          <w:rFonts w:ascii="Times New Roman" w:hAnsi="Times New Roman" w:cs="Times New Roman"/>
          <w:sz w:val="24"/>
          <w:szCs w:val="24"/>
        </w:rPr>
        <w:t xml:space="preserve">con </w:t>
      </w:r>
      <w:r w:rsidR="00460819">
        <w:rPr>
          <w:rFonts w:ascii="Times New Roman" w:hAnsi="Times New Roman" w:cs="Times New Roman"/>
          <w:sz w:val="24"/>
          <w:szCs w:val="24"/>
        </w:rPr>
        <w:t xml:space="preserve">base a autos interlocutorios, </w:t>
      </w:r>
      <w:r w:rsidR="00B82E26">
        <w:rPr>
          <w:rFonts w:ascii="Times New Roman" w:hAnsi="Times New Roman" w:cs="Times New Roman"/>
          <w:sz w:val="24"/>
          <w:szCs w:val="24"/>
        </w:rPr>
        <w:t xml:space="preserve">generando un obstáculo al interponer el </w:t>
      </w:r>
      <w:r w:rsidR="00B82E26" w:rsidRPr="00913907">
        <w:rPr>
          <w:rFonts w:ascii="Times New Roman" w:hAnsi="Times New Roman" w:cs="Times New Roman"/>
          <w:sz w:val="24"/>
          <w:szCs w:val="24"/>
        </w:rPr>
        <w:t>recurso de casación penal mediante una etapa de admisibilidad no prevista en la ley</w:t>
      </w:r>
      <w:r w:rsidR="00460819">
        <w:rPr>
          <w:rFonts w:ascii="Times New Roman" w:hAnsi="Times New Roman" w:cs="Times New Roman"/>
          <w:sz w:val="24"/>
          <w:szCs w:val="24"/>
        </w:rPr>
        <w:t>, por lo que la Corte Constitucional realiza un control constitucional y la declara</w:t>
      </w:r>
      <w:r w:rsidR="00460819" w:rsidRPr="00B13622">
        <w:rPr>
          <w:rFonts w:ascii="Times New Roman" w:hAnsi="Times New Roman" w:cs="Times New Roman"/>
          <w:sz w:val="24"/>
          <w:szCs w:val="24"/>
        </w:rPr>
        <w:t xml:space="preserve"> inconstitucional por </w:t>
      </w:r>
      <w:r w:rsidR="00460819">
        <w:rPr>
          <w:rFonts w:ascii="Times New Roman" w:hAnsi="Times New Roman" w:cs="Times New Roman"/>
          <w:sz w:val="24"/>
          <w:szCs w:val="24"/>
        </w:rPr>
        <w:t>la forma.</w:t>
      </w:r>
    </w:p>
    <w:p w14:paraId="5C13EDC3" w14:textId="2B6FDB3C" w:rsidR="001E784C" w:rsidRDefault="00C27119"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tener claro que para la emisión de jurisprudencia vinculante se requiere: a) </w:t>
      </w:r>
      <w:r w:rsidRPr="002207F8">
        <w:rPr>
          <w:rFonts w:ascii="Times New Roman" w:hAnsi="Times New Roman" w:cs="Times New Roman"/>
          <w:sz w:val="24"/>
          <w:szCs w:val="24"/>
        </w:rPr>
        <w:t xml:space="preserve">reiteración de </w:t>
      </w:r>
      <w:r w:rsidR="002207F8" w:rsidRPr="002207F8">
        <w:rPr>
          <w:rFonts w:ascii="Times New Roman" w:hAnsi="Times New Roman" w:cs="Times New Roman"/>
          <w:sz w:val="24"/>
          <w:szCs w:val="24"/>
        </w:rPr>
        <w:t>tres sentencias</w:t>
      </w:r>
      <w:r w:rsidR="002207F8">
        <w:rPr>
          <w:rFonts w:ascii="Times New Roman" w:hAnsi="Times New Roman" w:cs="Times New Roman"/>
          <w:sz w:val="24"/>
          <w:szCs w:val="24"/>
        </w:rPr>
        <w:t xml:space="preserve"> de misma opinión y</w:t>
      </w:r>
      <w:r w:rsidRPr="002207F8">
        <w:rPr>
          <w:rFonts w:ascii="Times New Roman" w:hAnsi="Times New Roman" w:cs="Times New Roman"/>
          <w:sz w:val="24"/>
          <w:szCs w:val="24"/>
        </w:rPr>
        <w:t xml:space="preserve"> sobre un mismo punto de derecho; y, b) que el Pleno de la Corte Nacional de Justicia haya resuelto ratificar el criterio jurídico reiterado, o haya omitido pronunciarse en el plazo de hasta </w:t>
      </w:r>
      <w:r w:rsidR="002207F8" w:rsidRPr="002207F8">
        <w:rPr>
          <w:rFonts w:ascii="Times New Roman" w:hAnsi="Times New Roman" w:cs="Times New Roman"/>
          <w:sz w:val="24"/>
          <w:szCs w:val="24"/>
        </w:rPr>
        <w:t xml:space="preserve">sesenta días. </w:t>
      </w:r>
      <w:r w:rsidR="00730AC7">
        <w:rPr>
          <w:rFonts w:ascii="Times New Roman" w:hAnsi="Times New Roman" w:cs="Times New Roman"/>
          <w:sz w:val="24"/>
          <w:szCs w:val="24"/>
        </w:rPr>
        <w:t>(</w:t>
      </w:r>
      <w:r w:rsidR="001E784C">
        <w:rPr>
          <w:rFonts w:ascii="Times New Roman" w:hAnsi="Times New Roman" w:cs="Times New Roman"/>
          <w:sz w:val="24"/>
          <w:szCs w:val="24"/>
        </w:rPr>
        <w:t>Corte Constitucional, Sentencia 8-19-IN/21, 2021)</w:t>
      </w:r>
    </w:p>
    <w:p w14:paraId="5820478A" w14:textId="131162C1" w:rsidR="006A5283" w:rsidRDefault="00580777" w:rsidP="00B21A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Cabe señalar que esta Resolución </w:t>
      </w:r>
      <w:r w:rsidR="006F492C">
        <w:rPr>
          <w:rFonts w:ascii="Times New Roman" w:hAnsi="Times New Roman" w:cs="Times New Roman"/>
          <w:sz w:val="24"/>
          <w:szCs w:val="24"/>
        </w:rPr>
        <w:t>No.</w:t>
      </w:r>
      <w:r>
        <w:rPr>
          <w:rFonts w:ascii="Times New Roman" w:hAnsi="Times New Roman" w:cs="Times New Roman"/>
          <w:sz w:val="24"/>
          <w:szCs w:val="24"/>
        </w:rPr>
        <w:t>10-2015, vulneró el derecho a la defensa de los recurrentes, quienes planteaban los recursos de casación y la Corte Nacional los inadmitía</w:t>
      </w:r>
      <w:r w:rsidR="00DB58E4">
        <w:rPr>
          <w:rFonts w:ascii="Times New Roman" w:hAnsi="Times New Roman" w:cs="Times New Roman"/>
          <w:sz w:val="24"/>
          <w:szCs w:val="24"/>
        </w:rPr>
        <w:t xml:space="preserve"> sin realizar un análisis de fondo</w:t>
      </w:r>
      <w:r>
        <w:rPr>
          <w:rFonts w:ascii="Times New Roman" w:hAnsi="Times New Roman" w:cs="Times New Roman"/>
          <w:sz w:val="24"/>
          <w:szCs w:val="24"/>
        </w:rPr>
        <w:t xml:space="preserve">. Con la finalidad de hacer prevalecer sus derechos los justiciables plateaban acciones extraordinarias de protección y la Corte Constitucional declaraba vulneración del derecho a la defensa, debido proceso y tutela judicial, por lo que en la mayoría de </w:t>
      </w:r>
      <w:r w:rsidR="00DB58E4">
        <w:rPr>
          <w:rFonts w:ascii="Times New Roman" w:hAnsi="Times New Roman" w:cs="Times New Roman"/>
          <w:sz w:val="24"/>
          <w:szCs w:val="24"/>
        </w:rPr>
        <w:t xml:space="preserve">estas el máximo órgano de justicia constitucional </w:t>
      </w:r>
      <w:r>
        <w:rPr>
          <w:rFonts w:ascii="Times New Roman" w:hAnsi="Times New Roman" w:cs="Times New Roman"/>
          <w:sz w:val="24"/>
          <w:szCs w:val="24"/>
        </w:rPr>
        <w:t xml:space="preserve">resuelve retrotraer los procesos y que sean nuevamente sorteados a fin de que otra Sala de la Corte Nacional de Justicia </w:t>
      </w:r>
      <w:r w:rsidR="00DB58E4">
        <w:rPr>
          <w:rFonts w:ascii="Times New Roman" w:hAnsi="Times New Roman" w:cs="Times New Roman"/>
          <w:sz w:val="24"/>
          <w:szCs w:val="24"/>
        </w:rPr>
        <w:t>resuelva lo que en derecho corresponda.</w:t>
      </w:r>
    </w:p>
    <w:p w14:paraId="7026CF17" w14:textId="564CA6C9" w:rsidR="00570730" w:rsidRPr="00787328" w:rsidRDefault="00570730" w:rsidP="00B21A77">
      <w:pPr>
        <w:spacing w:line="360" w:lineRule="auto"/>
        <w:ind w:firstLine="720"/>
        <w:jc w:val="center"/>
        <w:rPr>
          <w:rFonts w:ascii="Times New Roman" w:hAnsi="Times New Roman" w:cs="Times New Roman"/>
          <w:b/>
          <w:sz w:val="24"/>
          <w:szCs w:val="24"/>
        </w:rPr>
      </w:pPr>
      <w:r w:rsidRPr="00787328">
        <w:rPr>
          <w:rFonts w:ascii="Times New Roman" w:hAnsi="Times New Roman" w:cs="Times New Roman"/>
          <w:b/>
          <w:sz w:val="24"/>
          <w:szCs w:val="24"/>
        </w:rPr>
        <w:t>Figura 3</w:t>
      </w:r>
    </w:p>
    <w:p w14:paraId="55A75206" w14:textId="38412AFB" w:rsidR="00570730" w:rsidRPr="00787328" w:rsidRDefault="008352CD" w:rsidP="00B21A77">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Tabla de a</w:t>
      </w:r>
      <w:r w:rsidR="00570730" w:rsidRPr="00787328">
        <w:rPr>
          <w:rFonts w:ascii="Times New Roman" w:hAnsi="Times New Roman" w:cs="Times New Roman"/>
          <w:b/>
          <w:sz w:val="24"/>
          <w:szCs w:val="24"/>
        </w:rPr>
        <w:t>cciones extraordinarias</w:t>
      </w:r>
      <w:r w:rsidR="004F2354">
        <w:rPr>
          <w:rFonts w:ascii="Times New Roman" w:hAnsi="Times New Roman" w:cs="Times New Roman"/>
          <w:b/>
          <w:sz w:val="24"/>
          <w:szCs w:val="24"/>
        </w:rPr>
        <w:t xml:space="preserve"> de p</w:t>
      </w:r>
      <w:r w:rsidR="00570730" w:rsidRPr="00787328">
        <w:rPr>
          <w:rFonts w:ascii="Times New Roman" w:hAnsi="Times New Roman" w:cs="Times New Roman"/>
          <w:b/>
          <w:sz w:val="24"/>
          <w:szCs w:val="24"/>
        </w:rPr>
        <w:t>rotección</w:t>
      </w:r>
      <w:r w:rsidR="004F2354">
        <w:rPr>
          <w:rFonts w:ascii="Times New Roman" w:hAnsi="Times New Roman" w:cs="Times New Roman"/>
          <w:b/>
          <w:sz w:val="24"/>
          <w:szCs w:val="24"/>
        </w:rPr>
        <w:t xml:space="preserve"> Corte Constitucional</w:t>
      </w:r>
      <w:r w:rsidR="00570730" w:rsidRPr="00787328">
        <w:rPr>
          <w:rFonts w:ascii="Times New Roman" w:hAnsi="Times New Roman" w:cs="Times New Roman"/>
          <w:b/>
          <w:sz w:val="24"/>
          <w:szCs w:val="24"/>
        </w:rPr>
        <w:t xml:space="preserve"> derivadas de</w:t>
      </w:r>
      <w:r w:rsidR="00787328" w:rsidRPr="00787328">
        <w:rPr>
          <w:rFonts w:ascii="Times New Roman" w:hAnsi="Times New Roman" w:cs="Times New Roman"/>
          <w:b/>
          <w:sz w:val="24"/>
          <w:szCs w:val="24"/>
        </w:rPr>
        <w:t xml:space="preserve"> autos de</w:t>
      </w:r>
      <w:r w:rsidR="00570730" w:rsidRPr="00787328">
        <w:rPr>
          <w:rFonts w:ascii="Times New Roman" w:hAnsi="Times New Roman" w:cs="Times New Roman"/>
          <w:b/>
          <w:sz w:val="24"/>
          <w:szCs w:val="24"/>
        </w:rPr>
        <w:t xml:space="preserve"> </w:t>
      </w:r>
      <w:r w:rsidR="00787328" w:rsidRPr="00787328">
        <w:rPr>
          <w:rFonts w:ascii="Times New Roman" w:hAnsi="Times New Roman" w:cs="Times New Roman"/>
          <w:b/>
          <w:sz w:val="24"/>
          <w:szCs w:val="24"/>
        </w:rPr>
        <w:t>inadmisibilidad</w:t>
      </w:r>
      <w:r w:rsidR="00570730" w:rsidRPr="00787328">
        <w:rPr>
          <w:rFonts w:ascii="Times New Roman" w:hAnsi="Times New Roman" w:cs="Times New Roman"/>
          <w:b/>
          <w:sz w:val="24"/>
          <w:szCs w:val="24"/>
        </w:rPr>
        <w:t xml:space="preserve"> de recursos de casación penal.</w:t>
      </w:r>
    </w:p>
    <w:tbl>
      <w:tblPr>
        <w:tblStyle w:val="Tablanormal21"/>
        <w:tblW w:w="0" w:type="auto"/>
        <w:tblLook w:val="04A0" w:firstRow="1" w:lastRow="0" w:firstColumn="1" w:lastColumn="0" w:noHBand="0" w:noVBand="1"/>
      </w:tblPr>
      <w:tblGrid>
        <w:gridCol w:w="2625"/>
        <w:gridCol w:w="6213"/>
      </w:tblGrid>
      <w:tr w:rsidR="001F1F68" w:rsidRPr="00AB462B" w14:paraId="45C6C3C6" w14:textId="77777777" w:rsidTr="00B21A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4EC59F51" w14:textId="77777777" w:rsidR="007F0880" w:rsidRDefault="007F0880" w:rsidP="00B21A77">
            <w:pPr>
              <w:spacing w:line="360" w:lineRule="auto"/>
              <w:jc w:val="both"/>
              <w:rPr>
                <w:rFonts w:ascii="Times New Roman" w:hAnsi="Times New Roman" w:cs="Times New Roman"/>
                <w:bCs w:val="0"/>
                <w:sz w:val="24"/>
                <w:szCs w:val="24"/>
              </w:rPr>
            </w:pPr>
            <w:bookmarkStart w:id="3" w:name="_Hlk196393450"/>
            <w:r w:rsidRPr="00AB462B">
              <w:rPr>
                <w:rFonts w:ascii="Times New Roman" w:hAnsi="Times New Roman" w:cs="Times New Roman"/>
                <w:b w:val="0"/>
                <w:sz w:val="24"/>
                <w:szCs w:val="24"/>
              </w:rPr>
              <w:t>CASO No. 2023-20-EP</w:t>
            </w:r>
            <w:bookmarkEnd w:id="3"/>
          </w:p>
          <w:p w14:paraId="69B9FD0F" w14:textId="0E7DD28D" w:rsidR="001F1F68" w:rsidRPr="001802B8" w:rsidRDefault="007F0880" w:rsidP="00B21A77">
            <w:pPr>
              <w:spacing w:line="360" w:lineRule="auto"/>
              <w:jc w:val="both"/>
              <w:rPr>
                <w:rFonts w:ascii="Times New Roman" w:hAnsi="Times New Roman" w:cs="Times New Roman"/>
                <w:b w:val="0"/>
                <w:sz w:val="24"/>
                <w:szCs w:val="24"/>
              </w:rPr>
            </w:pPr>
            <w:r w:rsidRPr="001802B8">
              <w:rPr>
                <w:rFonts w:ascii="Times New Roman" w:hAnsi="Times New Roman" w:cs="Times New Roman"/>
                <w:b w:val="0"/>
                <w:sz w:val="24"/>
                <w:szCs w:val="24"/>
              </w:rPr>
              <w:t>Sentencia: 2023-20-EP/22</w:t>
            </w:r>
          </w:p>
        </w:tc>
        <w:tc>
          <w:tcPr>
            <w:tcW w:w="6213" w:type="dxa"/>
          </w:tcPr>
          <w:p w14:paraId="0AD32B1D" w14:textId="718915DB" w:rsidR="001F1F68" w:rsidRPr="00F72723" w:rsidRDefault="007F0880" w:rsidP="00B21A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La Corte Constitucional declara la v</w:t>
            </w:r>
            <w:r w:rsidR="002C2B19" w:rsidRPr="00F72723">
              <w:rPr>
                <w:rFonts w:ascii="Times New Roman" w:hAnsi="Times New Roman" w:cs="Times New Roman"/>
                <w:b w:val="0"/>
                <w:sz w:val="24"/>
                <w:szCs w:val="24"/>
              </w:rPr>
              <w:t>ulneración del debido proceso en la garantía de recurrir en el auto de inadmisión del recurso de casación penal, fundamentado en la Resolución</w:t>
            </w:r>
            <w:r>
              <w:rPr>
                <w:rFonts w:ascii="Times New Roman" w:hAnsi="Times New Roman" w:cs="Times New Roman"/>
                <w:b w:val="0"/>
                <w:sz w:val="24"/>
                <w:szCs w:val="24"/>
              </w:rPr>
              <w:t xml:space="preserve"> No.</w:t>
            </w:r>
            <w:r w:rsidR="002C2B19" w:rsidRPr="00F72723">
              <w:rPr>
                <w:rFonts w:ascii="Times New Roman" w:hAnsi="Times New Roman" w:cs="Times New Roman"/>
                <w:b w:val="0"/>
                <w:sz w:val="24"/>
                <w:szCs w:val="24"/>
              </w:rPr>
              <w:t xml:space="preserve"> 10-2015 de la Corte Nacional de Justicia y </w:t>
            </w:r>
            <w:r w:rsidRPr="00F72723">
              <w:rPr>
                <w:rFonts w:ascii="Times New Roman" w:hAnsi="Times New Roman" w:cs="Times New Roman"/>
                <w:b w:val="0"/>
                <w:sz w:val="24"/>
                <w:szCs w:val="24"/>
              </w:rPr>
              <w:t>dispone</w:t>
            </w:r>
            <w:r w:rsidR="002C2B19" w:rsidRPr="00F72723">
              <w:rPr>
                <w:rFonts w:ascii="Times New Roman" w:hAnsi="Times New Roman" w:cs="Times New Roman"/>
                <w:b w:val="0"/>
                <w:sz w:val="24"/>
                <w:szCs w:val="24"/>
              </w:rPr>
              <w:t>: dejar sin efecto el auto de inadmisión de fecha 4 de septiembre del 2020; retrotraer el proceso al estado anterior para que la Sala Especializada de lo Penal, Penal Militar, Penal Policial y Tránsito de la Corte Nacional de Justicia, previo al sorteo correspondiente y bajo una nueva conformación, resuelva el recurso de casación</w:t>
            </w:r>
            <w:r w:rsidR="00022F14" w:rsidRPr="00F72723">
              <w:rPr>
                <w:rFonts w:ascii="Times New Roman" w:hAnsi="Times New Roman" w:cs="Times New Roman"/>
                <w:b w:val="0"/>
                <w:sz w:val="24"/>
                <w:szCs w:val="24"/>
              </w:rPr>
              <w:t>.</w:t>
            </w:r>
          </w:p>
          <w:p w14:paraId="1F2E1420" w14:textId="7F3DE3FA" w:rsidR="002C2B19" w:rsidRPr="00AB462B" w:rsidRDefault="002C2B19" w:rsidP="00B21A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1F68" w:rsidRPr="00AB462B" w14:paraId="1F982D16" w14:textId="77777777" w:rsidTr="00B21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5A4578B7" w14:textId="77777777" w:rsidR="00BF7431" w:rsidRDefault="00BF7431" w:rsidP="00B21A77">
            <w:pPr>
              <w:spacing w:line="360" w:lineRule="auto"/>
              <w:jc w:val="both"/>
              <w:rPr>
                <w:rFonts w:ascii="Times New Roman" w:hAnsi="Times New Roman" w:cs="Times New Roman"/>
                <w:bCs w:val="0"/>
                <w:sz w:val="24"/>
                <w:szCs w:val="24"/>
              </w:rPr>
            </w:pPr>
            <w:bookmarkStart w:id="4" w:name="_Hlk196393558"/>
            <w:r w:rsidRPr="00AB462B">
              <w:rPr>
                <w:rFonts w:ascii="Times New Roman" w:hAnsi="Times New Roman" w:cs="Times New Roman"/>
                <w:b w:val="0"/>
                <w:sz w:val="24"/>
                <w:szCs w:val="24"/>
              </w:rPr>
              <w:t>CASO No. 2125-17-EP</w:t>
            </w:r>
            <w:bookmarkEnd w:id="4"/>
          </w:p>
          <w:p w14:paraId="75516CF3" w14:textId="3634F9E5" w:rsidR="001F1F68" w:rsidRPr="00AB462B" w:rsidRDefault="00BF7431" w:rsidP="00B21A77">
            <w:pPr>
              <w:spacing w:line="360" w:lineRule="auto"/>
              <w:jc w:val="both"/>
              <w:rPr>
                <w:rFonts w:ascii="Times New Roman" w:hAnsi="Times New Roman" w:cs="Times New Roman"/>
                <w:sz w:val="24"/>
                <w:szCs w:val="24"/>
              </w:rPr>
            </w:pPr>
            <w:r w:rsidRPr="0019290D">
              <w:rPr>
                <w:rFonts w:ascii="Times New Roman" w:hAnsi="Times New Roman" w:cs="Times New Roman"/>
                <w:b w:val="0"/>
                <w:bCs w:val="0"/>
                <w:sz w:val="24"/>
                <w:szCs w:val="24"/>
              </w:rPr>
              <w:t>Sentencia:</w:t>
            </w:r>
            <w:r>
              <w:rPr>
                <w:rFonts w:ascii="Times New Roman" w:hAnsi="Times New Roman" w:cs="Times New Roman"/>
                <w:b w:val="0"/>
                <w:bCs w:val="0"/>
                <w:sz w:val="24"/>
                <w:szCs w:val="24"/>
              </w:rPr>
              <w:t xml:space="preserve"> </w:t>
            </w:r>
            <w:r w:rsidRPr="00F22D74">
              <w:rPr>
                <w:rFonts w:ascii="Times New Roman" w:hAnsi="Times New Roman" w:cs="Times New Roman"/>
                <w:b w:val="0"/>
                <w:bCs w:val="0"/>
                <w:sz w:val="24"/>
                <w:szCs w:val="24"/>
              </w:rPr>
              <w:t>2125-17-EP/22</w:t>
            </w:r>
          </w:p>
        </w:tc>
        <w:tc>
          <w:tcPr>
            <w:tcW w:w="6213" w:type="dxa"/>
          </w:tcPr>
          <w:p w14:paraId="4A5A94F1" w14:textId="2796C520" w:rsidR="001F1F68" w:rsidRPr="00AB462B" w:rsidRDefault="00022F14"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462B">
              <w:rPr>
                <w:rFonts w:ascii="Times New Roman" w:hAnsi="Times New Roman" w:cs="Times New Roman"/>
                <w:sz w:val="24"/>
                <w:szCs w:val="24"/>
              </w:rPr>
              <w:t xml:space="preserve">La Corte Constitucional acepta la acción extraordinaria de protección que impugna el auto de inadmisión del recurso de casación penal resuelto al amparo de la </w:t>
            </w:r>
            <w:r w:rsidR="006F492C">
              <w:rPr>
                <w:rFonts w:ascii="Times New Roman" w:hAnsi="Times New Roman" w:cs="Times New Roman"/>
                <w:sz w:val="24"/>
                <w:szCs w:val="24"/>
              </w:rPr>
              <w:t>R</w:t>
            </w:r>
            <w:r w:rsidRPr="00AB462B">
              <w:rPr>
                <w:rFonts w:ascii="Times New Roman" w:hAnsi="Times New Roman" w:cs="Times New Roman"/>
                <w:sz w:val="24"/>
                <w:szCs w:val="24"/>
              </w:rPr>
              <w:t xml:space="preserve">esolución </w:t>
            </w:r>
            <w:r w:rsidR="006F492C">
              <w:rPr>
                <w:rFonts w:ascii="Times New Roman" w:hAnsi="Times New Roman" w:cs="Times New Roman"/>
                <w:sz w:val="24"/>
                <w:szCs w:val="24"/>
              </w:rPr>
              <w:t xml:space="preserve"> No.</w:t>
            </w:r>
            <w:r w:rsidRPr="00AB462B">
              <w:rPr>
                <w:rFonts w:ascii="Times New Roman" w:hAnsi="Times New Roman" w:cs="Times New Roman"/>
                <w:sz w:val="24"/>
                <w:szCs w:val="24"/>
              </w:rPr>
              <w:t>10-2015 de la Corte Nacional de Justicia.</w:t>
            </w:r>
          </w:p>
          <w:p w14:paraId="13BB26E5" w14:textId="0DCFCFD3" w:rsidR="00022F14" w:rsidRPr="00AB462B" w:rsidRDefault="00022F14"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6F0950" w14:textId="30CE240B" w:rsidR="00022F14" w:rsidRPr="00AB462B" w:rsidRDefault="00B82E26"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Consecuentemente la</w:t>
            </w:r>
            <w:r w:rsidR="00022F14" w:rsidRPr="00AB462B">
              <w:rPr>
                <w:rFonts w:ascii="Times New Roman" w:hAnsi="Times New Roman" w:cs="Times New Roman"/>
                <w:sz w:val="24"/>
                <w:szCs w:val="24"/>
              </w:rPr>
              <w:t xml:space="preserve"> Corte resuelve: 1. Aceptar la acción extraordinaria de protección. 2. Declarar vulnerado el derecho constitucional al debido proceso en la garantía de recurrir. 3. Dejar sin efecto el auto de 7 de junio de 2017 dictado por la Sala Especializada de lo Penal, Penal Militar, Penal Policial y Tránsito de la Corte Nacional de Justicia. 4. Retrotraer el proceso hasta el momento anterior a la vulneración del derecho, esto es, hasta antes de la emisión del auto de 7 de junio de 2017 dictado por la Sala Especializada de lo Penal, Penal Militar, Penal Policial y Tránsito de la Corte Nacional de Justicia</w:t>
            </w:r>
          </w:p>
          <w:p w14:paraId="4FCDA74E" w14:textId="2BC89DCD" w:rsidR="00022F14" w:rsidRPr="00AB462B" w:rsidRDefault="00022F14"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22F14" w:rsidRPr="00AB462B" w14:paraId="0C86A4FC" w14:textId="77777777" w:rsidTr="00B21A77">
        <w:trPr>
          <w:trHeight w:val="5519"/>
        </w:trPr>
        <w:tc>
          <w:tcPr>
            <w:cnfStyle w:val="001000000000" w:firstRow="0" w:lastRow="0" w:firstColumn="1" w:lastColumn="0" w:oddVBand="0" w:evenVBand="0" w:oddHBand="0" w:evenHBand="0" w:firstRowFirstColumn="0" w:firstRowLastColumn="0" w:lastRowFirstColumn="0" w:lastRowLastColumn="0"/>
            <w:tcW w:w="2625" w:type="dxa"/>
          </w:tcPr>
          <w:p w14:paraId="2926D58C" w14:textId="77777777" w:rsidR="00B82E26" w:rsidRDefault="00B82E26" w:rsidP="00B21A77">
            <w:pPr>
              <w:spacing w:line="360" w:lineRule="auto"/>
              <w:jc w:val="both"/>
              <w:rPr>
                <w:rFonts w:ascii="Times New Roman" w:eastAsia="Times New Roman" w:hAnsi="Times New Roman" w:cs="Times New Roman"/>
                <w:bCs w:val="0"/>
                <w:color w:val="333333"/>
                <w:kern w:val="36"/>
                <w:sz w:val="24"/>
                <w:szCs w:val="24"/>
                <w:lang w:eastAsia="es-EC"/>
              </w:rPr>
            </w:pPr>
            <w:bookmarkStart w:id="5" w:name="_Hlk196393618"/>
            <w:r w:rsidRPr="00326414">
              <w:rPr>
                <w:rFonts w:ascii="Times New Roman" w:eastAsia="Times New Roman" w:hAnsi="Times New Roman" w:cs="Times New Roman"/>
                <w:b w:val="0"/>
                <w:color w:val="333333"/>
                <w:kern w:val="36"/>
                <w:sz w:val="24"/>
                <w:szCs w:val="24"/>
                <w:lang w:eastAsia="es-EC"/>
              </w:rPr>
              <w:t>Caso No. 1919-17-EP</w:t>
            </w:r>
          </w:p>
          <w:p w14:paraId="5FEB55FF" w14:textId="51DB27C3" w:rsidR="00022F14" w:rsidRPr="00AB462B" w:rsidRDefault="00B82E26" w:rsidP="00B21A77">
            <w:pPr>
              <w:spacing w:line="360" w:lineRule="auto"/>
              <w:jc w:val="both"/>
              <w:rPr>
                <w:rFonts w:ascii="Times New Roman" w:hAnsi="Times New Roman" w:cs="Times New Roman"/>
                <w:b w:val="0"/>
                <w:sz w:val="24"/>
                <w:szCs w:val="24"/>
              </w:rPr>
            </w:pPr>
            <w:r w:rsidRPr="00913907">
              <w:rPr>
                <w:rFonts w:ascii="Times New Roman" w:hAnsi="Times New Roman" w:cs="Times New Roman"/>
                <w:b w:val="0"/>
                <w:sz w:val="24"/>
                <w:szCs w:val="24"/>
              </w:rPr>
              <w:t>Sentencia</w:t>
            </w:r>
            <w:r>
              <w:rPr>
                <w:rFonts w:ascii="Times New Roman" w:hAnsi="Times New Roman" w:cs="Times New Roman"/>
                <w:b w:val="0"/>
                <w:sz w:val="24"/>
                <w:szCs w:val="24"/>
              </w:rPr>
              <w:t xml:space="preserve">: </w:t>
            </w:r>
            <w:r w:rsidRPr="00913907">
              <w:rPr>
                <w:rFonts w:ascii="Times New Roman" w:hAnsi="Times New Roman" w:cs="Times New Roman"/>
                <w:b w:val="0"/>
                <w:sz w:val="24"/>
                <w:szCs w:val="24"/>
              </w:rPr>
              <w:t>1919-17-EP/22</w:t>
            </w:r>
          </w:p>
        </w:tc>
        <w:tc>
          <w:tcPr>
            <w:tcW w:w="6213" w:type="dxa"/>
          </w:tcPr>
          <w:p w14:paraId="36E91C06" w14:textId="6DBF7234" w:rsidR="00B82E26" w:rsidRPr="00AB462B" w:rsidRDefault="00022F14"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62B">
              <w:rPr>
                <w:rFonts w:ascii="Times New Roman" w:hAnsi="Times New Roman" w:cs="Times New Roman"/>
                <w:sz w:val="24"/>
                <w:szCs w:val="24"/>
              </w:rPr>
              <w:t xml:space="preserve">La Corte Constitucional analiza la acción extraordinaria de protección presentada en contra del auto de inadmisión del recurso extraordinario de casación </w:t>
            </w:r>
            <w:r w:rsidR="00B82E26">
              <w:rPr>
                <w:rFonts w:ascii="Times New Roman" w:hAnsi="Times New Roman" w:cs="Times New Roman"/>
                <w:sz w:val="24"/>
                <w:szCs w:val="24"/>
              </w:rPr>
              <w:t xml:space="preserve">y declara la </w:t>
            </w:r>
            <w:r w:rsidR="00B82E26" w:rsidRPr="00913907">
              <w:rPr>
                <w:rFonts w:ascii="Times New Roman" w:hAnsi="Times New Roman" w:cs="Times New Roman"/>
                <w:sz w:val="24"/>
                <w:szCs w:val="24"/>
              </w:rPr>
              <w:t xml:space="preserve">vulneración del derecho a recurrir, por establecer obstáculos irrazonables al inadmitir el </w:t>
            </w:r>
            <w:r w:rsidR="00B82E26" w:rsidRPr="00895E77">
              <w:rPr>
                <w:rFonts w:ascii="Times New Roman" w:hAnsi="Times New Roman" w:cs="Times New Roman"/>
                <w:sz w:val="24"/>
                <w:szCs w:val="24"/>
              </w:rPr>
              <w:t>recurso de casación penal mediante una etapa de admisibilidad no prevista en la ley.</w:t>
            </w:r>
          </w:p>
          <w:p w14:paraId="063EEBCF" w14:textId="77777777" w:rsidR="00B82E26" w:rsidRDefault="00B82E26"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24F052E" w14:textId="62CAF9DE" w:rsidR="00022F14" w:rsidRPr="00AB462B" w:rsidRDefault="00022F14"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62B">
              <w:rPr>
                <w:rFonts w:ascii="Times New Roman" w:hAnsi="Times New Roman" w:cs="Times New Roman"/>
                <w:sz w:val="24"/>
                <w:szCs w:val="24"/>
              </w:rPr>
              <w:t>Resuelve: 1. Aceptar la acción extraordinaria de protección No. 1919-17-EP. 2. Declarar la vulneración del derecho al debido proceso en la garantía de recurrir. 3. Dejar sin efecto el auto de 27 de junio de 2017 dictado por la Sala Especializada de lo Penal, Penal Militar, Penal Policial y Tránsito de la Corte Nacional de Justicia. 4. Retrotraer el proceso hasta el momento anterior a la vulneración del derecho, esto es, hasta antes de la emisión del acto impugnado. 5. Devolver el expediente a la Corte Nacional de Justicia a fin de que una nueva conformación de la Sala Especializada de lo Penal, Penal Militar, Penal Policial y Tránsito, conozca y resuelva el recurso de casación</w:t>
            </w:r>
            <w:r w:rsidR="003C4F8C">
              <w:rPr>
                <w:rFonts w:ascii="Times New Roman" w:hAnsi="Times New Roman" w:cs="Times New Roman"/>
                <w:sz w:val="24"/>
                <w:szCs w:val="24"/>
              </w:rPr>
              <w:t>.</w:t>
            </w:r>
          </w:p>
        </w:tc>
      </w:tr>
      <w:tr w:rsidR="00022F14" w:rsidRPr="00AB462B" w14:paraId="6800FC13" w14:textId="77777777" w:rsidTr="00B21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5281A1B2" w14:textId="77777777" w:rsidR="00895E77" w:rsidRDefault="00895E77" w:rsidP="00B21A77">
            <w:pPr>
              <w:spacing w:line="360" w:lineRule="auto"/>
              <w:jc w:val="both"/>
              <w:rPr>
                <w:rFonts w:ascii="Times New Roman" w:hAnsi="Times New Roman" w:cs="Times New Roman"/>
                <w:bCs w:val="0"/>
                <w:sz w:val="24"/>
                <w:szCs w:val="24"/>
              </w:rPr>
            </w:pPr>
            <w:bookmarkStart w:id="6" w:name="_Hlk196393673"/>
            <w:bookmarkEnd w:id="5"/>
            <w:r w:rsidRPr="00AB462B">
              <w:rPr>
                <w:rFonts w:ascii="Times New Roman" w:hAnsi="Times New Roman" w:cs="Times New Roman"/>
                <w:b w:val="0"/>
                <w:sz w:val="24"/>
                <w:szCs w:val="24"/>
              </w:rPr>
              <w:t>CASO No. 193-21-EP</w:t>
            </w:r>
          </w:p>
          <w:p w14:paraId="13DAC9F5" w14:textId="5224F9C3" w:rsidR="00022F14" w:rsidRPr="00AB462B" w:rsidRDefault="00895E77" w:rsidP="00B21A77">
            <w:pPr>
              <w:spacing w:line="360" w:lineRule="auto"/>
              <w:jc w:val="both"/>
              <w:rPr>
                <w:rFonts w:ascii="Times New Roman" w:eastAsia="Times New Roman" w:hAnsi="Times New Roman" w:cs="Times New Roman"/>
                <w:b w:val="0"/>
                <w:bCs w:val="0"/>
                <w:color w:val="333333"/>
                <w:kern w:val="36"/>
                <w:sz w:val="24"/>
                <w:szCs w:val="24"/>
                <w:lang w:eastAsia="es-EC"/>
              </w:rPr>
            </w:pPr>
            <w:r w:rsidRPr="005F5248">
              <w:rPr>
                <w:rFonts w:ascii="Times New Roman" w:eastAsia="Times New Roman" w:hAnsi="Times New Roman" w:cs="Times New Roman"/>
                <w:b w:val="0"/>
                <w:bCs w:val="0"/>
                <w:color w:val="333333"/>
                <w:kern w:val="36"/>
                <w:sz w:val="24"/>
                <w:szCs w:val="24"/>
                <w:lang w:eastAsia="es-EC"/>
              </w:rPr>
              <w:t>Sentencia</w:t>
            </w:r>
            <w:r>
              <w:rPr>
                <w:rFonts w:ascii="Times New Roman" w:eastAsia="Times New Roman" w:hAnsi="Times New Roman" w:cs="Times New Roman"/>
                <w:b w:val="0"/>
                <w:bCs w:val="0"/>
                <w:color w:val="333333"/>
                <w:kern w:val="36"/>
                <w:sz w:val="24"/>
                <w:szCs w:val="24"/>
                <w:lang w:eastAsia="es-EC"/>
              </w:rPr>
              <w:t>:</w:t>
            </w:r>
            <w:r w:rsidRPr="005F5248">
              <w:rPr>
                <w:rFonts w:ascii="Times New Roman" w:eastAsia="Times New Roman" w:hAnsi="Times New Roman" w:cs="Times New Roman"/>
                <w:b w:val="0"/>
                <w:bCs w:val="0"/>
                <w:color w:val="333333"/>
                <w:kern w:val="36"/>
                <w:sz w:val="24"/>
                <w:szCs w:val="24"/>
                <w:lang w:eastAsia="es-EC"/>
              </w:rPr>
              <w:t xml:space="preserve"> 193-21-EP/22</w:t>
            </w:r>
          </w:p>
        </w:tc>
        <w:tc>
          <w:tcPr>
            <w:tcW w:w="6213" w:type="dxa"/>
          </w:tcPr>
          <w:p w14:paraId="48DD999D" w14:textId="654CDDE0" w:rsidR="00022F14" w:rsidRPr="00AB462B" w:rsidRDefault="00F72723"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w:t>
            </w:r>
            <w:r w:rsidR="00614265" w:rsidRPr="00AB462B">
              <w:rPr>
                <w:rFonts w:ascii="Times New Roman" w:hAnsi="Times New Roman" w:cs="Times New Roman"/>
                <w:sz w:val="24"/>
                <w:szCs w:val="24"/>
              </w:rPr>
              <w:t xml:space="preserve">a Corte </w:t>
            </w:r>
            <w:r w:rsidR="003E39D2">
              <w:rPr>
                <w:rFonts w:ascii="Times New Roman" w:hAnsi="Times New Roman" w:cs="Times New Roman"/>
                <w:sz w:val="24"/>
                <w:szCs w:val="24"/>
              </w:rPr>
              <w:t xml:space="preserve">Constitucional </w:t>
            </w:r>
            <w:r w:rsidR="00614265" w:rsidRPr="00AB462B">
              <w:rPr>
                <w:rFonts w:ascii="Times New Roman" w:hAnsi="Times New Roman" w:cs="Times New Roman"/>
                <w:sz w:val="24"/>
                <w:szCs w:val="24"/>
              </w:rPr>
              <w:t xml:space="preserve">acepta la acción </w:t>
            </w:r>
            <w:r w:rsidR="003E39D2">
              <w:rPr>
                <w:rFonts w:ascii="Times New Roman" w:hAnsi="Times New Roman" w:cs="Times New Roman"/>
                <w:sz w:val="24"/>
                <w:szCs w:val="24"/>
              </w:rPr>
              <w:t xml:space="preserve">extraordinaria de protección </w:t>
            </w:r>
            <w:r w:rsidR="00614265" w:rsidRPr="00AB462B">
              <w:rPr>
                <w:rFonts w:ascii="Times New Roman" w:hAnsi="Times New Roman" w:cs="Times New Roman"/>
                <w:sz w:val="24"/>
                <w:szCs w:val="24"/>
              </w:rPr>
              <w:t>al verificar la vulneración del derecho a recurrir, por establecer obstáculos irrazonables al inadmitir el recurso de casación penal mediante una etapa de admisibilidad no prevista en la ley</w:t>
            </w:r>
            <w:r w:rsidR="003E39D2">
              <w:rPr>
                <w:rFonts w:ascii="Times New Roman" w:hAnsi="Times New Roman" w:cs="Times New Roman"/>
                <w:sz w:val="24"/>
                <w:szCs w:val="24"/>
              </w:rPr>
              <w:t>.</w:t>
            </w:r>
          </w:p>
          <w:p w14:paraId="4B827CF7" w14:textId="7E8DEE73" w:rsidR="00614265" w:rsidRPr="00AB462B" w:rsidRDefault="00614265" w:rsidP="00B21A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462B">
              <w:rPr>
                <w:rFonts w:ascii="Times New Roman" w:hAnsi="Times New Roman" w:cs="Times New Roman"/>
                <w:sz w:val="24"/>
                <w:szCs w:val="24"/>
              </w:rPr>
              <w:t>Declara vulneración del derecho al debido proceso en la garantía d</w:t>
            </w:r>
            <w:r w:rsidR="00D70593">
              <w:rPr>
                <w:rFonts w:ascii="Times New Roman" w:hAnsi="Times New Roman" w:cs="Times New Roman"/>
                <w:sz w:val="24"/>
                <w:szCs w:val="24"/>
              </w:rPr>
              <w:t>e recurrir. Dispone</w:t>
            </w:r>
            <w:r w:rsidRPr="00AB462B">
              <w:rPr>
                <w:rFonts w:ascii="Times New Roman" w:hAnsi="Times New Roman" w:cs="Times New Roman"/>
                <w:sz w:val="24"/>
                <w:szCs w:val="24"/>
              </w:rPr>
              <w:t>, como medidas de reparación, lo siguiente: a. Dejar sin efecto el auto de 05 de octubre de 2020 dictado por la Sala Especializada de lo Penal, Penal Militar, Penal Policial y Tránsito de la Corte Nacional de Justicia</w:t>
            </w:r>
            <w:r w:rsidR="00AB462B" w:rsidRPr="00AB462B">
              <w:rPr>
                <w:rFonts w:ascii="Times New Roman" w:hAnsi="Times New Roman" w:cs="Times New Roman"/>
                <w:sz w:val="24"/>
                <w:szCs w:val="24"/>
              </w:rPr>
              <w:t xml:space="preserve">; </w:t>
            </w:r>
            <w:r w:rsidRPr="00AB462B">
              <w:rPr>
                <w:rFonts w:ascii="Times New Roman" w:hAnsi="Times New Roman" w:cs="Times New Roman"/>
                <w:sz w:val="24"/>
                <w:szCs w:val="24"/>
              </w:rPr>
              <w:t>b. Disponer que, la Sala Especializada de lo Penal, Penal Militar, Penal Policial, Tránsito, Corrupción y Crimen Organizado de la Corte Nacional de Justicia, previo al sorteo correspondiente y bajo una nueva conformación, resuelva el recurso de casación interpuesto</w:t>
            </w:r>
            <w:r w:rsidR="003E39D2">
              <w:rPr>
                <w:rFonts w:ascii="Times New Roman" w:hAnsi="Times New Roman" w:cs="Times New Roman"/>
                <w:sz w:val="24"/>
                <w:szCs w:val="24"/>
              </w:rPr>
              <w:t>.</w:t>
            </w:r>
          </w:p>
        </w:tc>
      </w:tr>
      <w:tr w:rsidR="00022F14" w:rsidRPr="00AB462B" w14:paraId="1EA33D8A" w14:textId="77777777" w:rsidTr="00B21A77">
        <w:trPr>
          <w:trHeight w:val="4668"/>
        </w:trPr>
        <w:tc>
          <w:tcPr>
            <w:cnfStyle w:val="001000000000" w:firstRow="0" w:lastRow="0" w:firstColumn="1" w:lastColumn="0" w:oddVBand="0" w:evenVBand="0" w:oddHBand="0" w:evenHBand="0" w:firstRowFirstColumn="0" w:firstRowLastColumn="0" w:lastRowFirstColumn="0" w:lastRowLastColumn="0"/>
            <w:tcW w:w="2625" w:type="dxa"/>
          </w:tcPr>
          <w:p w14:paraId="3401AFB1" w14:textId="77777777" w:rsidR="00D70593" w:rsidRDefault="00D70593" w:rsidP="00B21A77">
            <w:pPr>
              <w:spacing w:line="360" w:lineRule="auto"/>
              <w:jc w:val="both"/>
              <w:rPr>
                <w:rFonts w:ascii="Times New Roman" w:hAnsi="Times New Roman" w:cs="Times New Roman"/>
                <w:bCs w:val="0"/>
                <w:sz w:val="24"/>
                <w:szCs w:val="24"/>
              </w:rPr>
            </w:pPr>
            <w:bookmarkStart w:id="7" w:name="_Hlk196393695"/>
            <w:bookmarkEnd w:id="6"/>
            <w:r w:rsidRPr="00AB462B">
              <w:rPr>
                <w:rFonts w:ascii="Times New Roman" w:hAnsi="Times New Roman" w:cs="Times New Roman"/>
                <w:b w:val="0"/>
                <w:sz w:val="24"/>
                <w:szCs w:val="24"/>
              </w:rPr>
              <w:t>CASO 2890-19-EP</w:t>
            </w:r>
          </w:p>
          <w:p w14:paraId="08D357C5" w14:textId="3FBDE2BB" w:rsidR="00022F14" w:rsidRPr="00AB462B" w:rsidRDefault="00D70593" w:rsidP="00B21A77">
            <w:pPr>
              <w:spacing w:line="360" w:lineRule="auto"/>
              <w:jc w:val="both"/>
              <w:rPr>
                <w:rFonts w:ascii="Times New Roman" w:eastAsia="Times New Roman" w:hAnsi="Times New Roman" w:cs="Times New Roman"/>
                <w:b w:val="0"/>
                <w:bCs w:val="0"/>
                <w:color w:val="333333"/>
                <w:kern w:val="36"/>
                <w:sz w:val="24"/>
                <w:szCs w:val="24"/>
                <w:lang w:eastAsia="es-EC"/>
              </w:rPr>
            </w:pPr>
            <w:r w:rsidRPr="005F5248">
              <w:rPr>
                <w:rFonts w:ascii="Times New Roman" w:eastAsia="Times New Roman" w:hAnsi="Times New Roman" w:cs="Times New Roman"/>
                <w:b w:val="0"/>
                <w:bCs w:val="0"/>
                <w:color w:val="333333"/>
                <w:kern w:val="36"/>
                <w:sz w:val="24"/>
                <w:szCs w:val="24"/>
                <w:lang w:eastAsia="es-EC"/>
              </w:rPr>
              <w:t>Sentencia</w:t>
            </w:r>
            <w:r>
              <w:rPr>
                <w:rFonts w:ascii="Times New Roman" w:eastAsia="Times New Roman" w:hAnsi="Times New Roman" w:cs="Times New Roman"/>
                <w:b w:val="0"/>
                <w:bCs w:val="0"/>
                <w:color w:val="333333"/>
                <w:kern w:val="36"/>
                <w:sz w:val="24"/>
                <w:szCs w:val="24"/>
                <w:lang w:eastAsia="es-EC"/>
              </w:rPr>
              <w:t>:</w:t>
            </w:r>
            <w:r w:rsidRPr="005F5248">
              <w:rPr>
                <w:rFonts w:ascii="Times New Roman" w:eastAsia="Times New Roman" w:hAnsi="Times New Roman" w:cs="Times New Roman"/>
                <w:b w:val="0"/>
                <w:bCs w:val="0"/>
                <w:color w:val="333333"/>
                <w:kern w:val="36"/>
                <w:sz w:val="24"/>
                <w:szCs w:val="24"/>
                <w:lang w:eastAsia="es-EC"/>
              </w:rPr>
              <w:t xml:space="preserve"> 2890-19-EP/23</w:t>
            </w:r>
          </w:p>
        </w:tc>
        <w:tc>
          <w:tcPr>
            <w:tcW w:w="6213" w:type="dxa"/>
          </w:tcPr>
          <w:p w14:paraId="0082A65E" w14:textId="6657B75C" w:rsidR="00AB462B" w:rsidRPr="00AB462B" w:rsidRDefault="00AB462B"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462B">
              <w:rPr>
                <w:rFonts w:ascii="Times New Roman" w:hAnsi="Times New Roman" w:cs="Times New Roman"/>
                <w:sz w:val="24"/>
                <w:szCs w:val="24"/>
              </w:rPr>
              <w:t>La Corte Constitucional acepta la acción extraordinaria de protección que impugna el auto de inadmisión del recurso de casación penal resuel</w:t>
            </w:r>
            <w:r w:rsidR="006F492C">
              <w:rPr>
                <w:rFonts w:ascii="Times New Roman" w:hAnsi="Times New Roman" w:cs="Times New Roman"/>
                <w:sz w:val="24"/>
                <w:szCs w:val="24"/>
              </w:rPr>
              <w:t>to al amparo de la Resolución No.</w:t>
            </w:r>
            <w:r w:rsidRPr="00AB462B">
              <w:rPr>
                <w:rFonts w:ascii="Times New Roman" w:hAnsi="Times New Roman" w:cs="Times New Roman"/>
                <w:sz w:val="24"/>
                <w:szCs w:val="24"/>
              </w:rPr>
              <w:t xml:space="preserve"> 10-2015 de la Corte Nacional de Justicia.</w:t>
            </w:r>
          </w:p>
          <w:p w14:paraId="23ACDD3B" w14:textId="78794556" w:rsidR="00AB462B" w:rsidRPr="00AB462B" w:rsidRDefault="00D70593"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Decisión: 1. Acepta</w:t>
            </w:r>
            <w:r w:rsidR="00AB462B" w:rsidRPr="00AB462B">
              <w:rPr>
                <w:rFonts w:ascii="Times New Roman" w:hAnsi="Times New Roman" w:cs="Times New Roman"/>
                <w:sz w:val="24"/>
                <w:szCs w:val="24"/>
              </w:rPr>
              <w:t xml:space="preserve"> la acción extraordinaria de protección 2890-19-EP. 2. Declara vulnerado el derecho constitucional al debido proceso en l</w:t>
            </w:r>
            <w:r>
              <w:rPr>
                <w:rFonts w:ascii="Times New Roman" w:hAnsi="Times New Roman" w:cs="Times New Roman"/>
                <w:sz w:val="24"/>
                <w:szCs w:val="24"/>
              </w:rPr>
              <w:t>a garantía de recurrir. 3. Deja</w:t>
            </w:r>
            <w:r w:rsidR="00AB462B" w:rsidRPr="00AB462B">
              <w:rPr>
                <w:rFonts w:ascii="Times New Roman" w:hAnsi="Times New Roman" w:cs="Times New Roman"/>
                <w:sz w:val="24"/>
                <w:szCs w:val="24"/>
              </w:rPr>
              <w:t xml:space="preserve"> sin efecto el auto de 04 de julio de 2019 dictado por la Sala Especializada de lo Penal, Penal Militar, Penal Policial y Tránsito de la Corte Nacional de Justicia. 4. Dispone que, la Sala Especializada de lo Penal, Penal Militar, Penal Policial y Tránsito de la Corte Nacional de Justicia, previo al sorteo correspondiente y bajo una nueva conformación, resuelva el recurso de casación interpuesto.</w:t>
            </w:r>
          </w:p>
          <w:p w14:paraId="2EDAE580" w14:textId="6D87361A" w:rsidR="00AB462B" w:rsidRPr="00AB462B" w:rsidRDefault="00AB462B" w:rsidP="00B21A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7"/>
    </w:tbl>
    <w:p w14:paraId="64E5DE0C" w14:textId="77777777" w:rsidR="001F1F68" w:rsidRDefault="001F1F68" w:rsidP="00B21A77">
      <w:pPr>
        <w:spacing w:line="360" w:lineRule="auto"/>
        <w:ind w:firstLine="720"/>
        <w:jc w:val="both"/>
        <w:rPr>
          <w:rFonts w:ascii="Times New Roman" w:hAnsi="Times New Roman" w:cs="Times New Roman"/>
          <w:sz w:val="24"/>
          <w:szCs w:val="24"/>
        </w:rPr>
      </w:pPr>
    </w:p>
    <w:p w14:paraId="32048C68" w14:textId="26DF1973" w:rsidR="00787328" w:rsidRDefault="00AB462B" w:rsidP="00B21A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Fuente: Sentencias</w:t>
      </w:r>
      <w:r w:rsidR="00BA6DC6">
        <w:rPr>
          <w:rFonts w:ascii="Times New Roman" w:hAnsi="Times New Roman" w:cs="Times New Roman"/>
          <w:sz w:val="24"/>
          <w:szCs w:val="24"/>
        </w:rPr>
        <w:t>,</w:t>
      </w:r>
      <w:r>
        <w:rPr>
          <w:rFonts w:ascii="Times New Roman" w:hAnsi="Times New Roman" w:cs="Times New Roman"/>
          <w:sz w:val="24"/>
          <w:szCs w:val="24"/>
        </w:rPr>
        <w:t xml:space="preserve"> Corte Constitucional</w:t>
      </w:r>
    </w:p>
    <w:p w14:paraId="7A781685" w14:textId="3E5F9817" w:rsidR="00AB462B" w:rsidRDefault="00AB462B" w:rsidP="00B21A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Elaboración: Los autores</w:t>
      </w:r>
    </w:p>
    <w:p w14:paraId="289BE533" w14:textId="4A7167DE" w:rsidR="001E710D" w:rsidRPr="00AD07FE" w:rsidRDefault="001E710D" w:rsidP="00B21A77">
      <w:pPr>
        <w:spacing w:line="360" w:lineRule="auto"/>
        <w:rPr>
          <w:rFonts w:ascii="Times New Roman" w:hAnsi="Times New Roman" w:cs="Times New Roman"/>
          <w:b/>
          <w:sz w:val="24"/>
          <w:szCs w:val="24"/>
        </w:rPr>
      </w:pPr>
      <w:bookmarkStart w:id="8" w:name="_Hlk196252555"/>
      <w:r w:rsidRPr="00AD07FE">
        <w:rPr>
          <w:rFonts w:ascii="Times New Roman" w:hAnsi="Times New Roman" w:cs="Times New Roman"/>
          <w:b/>
          <w:sz w:val="24"/>
          <w:szCs w:val="24"/>
        </w:rPr>
        <w:t xml:space="preserve">Análisis de la sentencia </w:t>
      </w:r>
      <w:r w:rsidR="006F492C">
        <w:rPr>
          <w:rFonts w:ascii="Times New Roman" w:hAnsi="Times New Roman" w:cs="Times New Roman"/>
          <w:b/>
          <w:sz w:val="24"/>
          <w:szCs w:val="24"/>
        </w:rPr>
        <w:t>No.</w:t>
      </w:r>
      <w:r>
        <w:rPr>
          <w:rFonts w:ascii="Times New Roman" w:hAnsi="Times New Roman" w:cs="Times New Roman"/>
          <w:b/>
          <w:sz w:val="24"/>
          <w:szCs w:val="24"/>
        </w:rPr>
        <w:t xml:space="preserve"> </w:t>
      </w:r>
      <w:r w:rsidRPr="00AD07FE">
        <w:rPr>
          <w:rFonts w:ascii="Times New Roman" w:hAnsi="Times New Roman" w:cs="Times New Roman"/>
          <w:b/>
          <w:sz w:val="24"/>
          <w:szCs w:val="24"/>
        </w:rPr>
        <w:t>8-19/IN 2021</w:t>
      </w:r>
      <w:r w:rsidR="00BA6DC6">
        <w:rPr>
          <w:rFonts w:ascii="Times New Roman" w:hAnsi="Times New Roman" w:cs="Times New Roman"/>
          <w:b/>
          <w:sz w:val="24"/>
          <w:szCs w:val="24"/>
        </w:rPr>
        <w:t>.</w:t>
      </w:r>
      <w:r>
        <w:rPr>
          <w:rFonts w:ascii="Times New Roman" w:hAnsi="Times New Roman" w:cs="Times New Roman"/>
          <w:b/>
          <w:sz w:val="24"/>
          <w:szCs w:val="24"/>
        </w:rPr>
        <w:t xml:space="preserve"> Corte Constitucional</w:t>
      </w:r>
    </w:p>
    <w:bookmarkEnd w:id="8"/>
    <w:p w14:paraId="59B4645D" w14:textId="593EFE08" w:rsidR="000D26A1" w:rsidRPr="00A30444" w:rsidRDefault="000D26A1"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A través de</w:t>
      </w:r>
      <w:r w:rsidRPr="000D26A1">
        <w:rPr>
          <w:rFonts w:ascii="Times New Roman" w:hAnsi="Times New Roman" w:cs="Times New Roman"/>
          <w:sz w:val="24"/>
          <w:szCs w:val="24"/>
        </w:rPr>
        <w:t xml:space="preserve"> una acción pública de inconstitucionalidad se impugnó la Resolución No. 10-2015 del Pleno de la Corte Nacional de Justicia, publicada en el Registro Oficial No. 563, el 12 de agosto de 2015, debido a que dicha resolución restringía el acceso al recurso extraordinario de casación en materia penal. Esta limitación obligaba a los justiciables a presentar, de manera excesiva, acciones extraordinarias de protección, cuya resolución correspondía a la Corte Constitucional.</w:t>
      </w:r>
    </w:p>
    <w:p w14:paraId="1D33923F" w14:textId="77777777" w:rsidR="00404EAD" w:rsidRPr="00A30444" w:rsidRDefault="00404EAD" w:rsidP="00B21A77">
      <w:pPr>
        <w:spacing w:line="360" w:lineRule="auto"/>
        <w:ind w:firstLine="720"/>
        <w:jc w:val="both"/>
        <w:rPr>
          <w:rFonts w:ascii="Times New Roman" w:hAnsi="Times New Roman" w:cs="Times New Roman"/>
          <w:sz w:val="24"/>
          <w:szCs w:val="24"/>
        </w:rPr>
      </w:pPr>
    </w:p>
    <w:p w14:paraId="5E7E3973" w14:textId="1E98F738" w:rsidR="00404EAD" w:rsidRPr="00A30444" w:rsidRDefault="000D26A1"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Cabe recordar que,</w:t>
      </w:r>
      <w:r w:rsidR="00404EAD" w:rsidRPr="00A30444">
        <w:rPr>
          <w:rFonts w:ascii="Times New Roman" w:hAnsi="Times New Roman" w:cs="Times New Roman"/>
          <w:sz w:val="24"/>
          <w:szCs w:val="24"/>
        </w:rPr>
        <w:t xml:space="preserve"> </w:t>
      </w:r>
      <w:r w:rsidR="00980DF9" w:rsidRPr="00A30444">
        <w:rPr>
          <w:rFonts w:ascii="Times New Roman" w:hAnsi="Times New Roman" w:cs="Times New Roman"/>
          <w:sz w:val="24"/>
          <w:szCs w:val="24"/>
        </w:rPr>
        <w:t>de acuerdo con el</w:t>
      </w:r>
      <w:r w:rsidR="00404EAD" w:rsidRPr="00A30444">
        <w:rPr>
          <w:rFonts w:ascii="Times New Roman" w:hAnsi="Times New Roman" w:cs="Times New Roman"/>
          <w:sz w:val="24"/>
          <w:szCs w:val="24"/>
        </w:rPr>
        <w:t xml:space="preserve"> artículo 1 de la norma constitucional, </w:t>
      </w:r>
      <w:r>
        <w:rPr>
          <w:rFonts w:ascii="Times New Roman" w:hAnsi="Times New Roman" w:cs="Times New Roman"/>
          <w:sz w:val="24"/>
          <w:szCs w:val="24"/>
        </w:rPr>
        <w:t>el</w:t>
      </w:r>
      <w:r w:rsidR="00404EAD" w:rsidRPr="00A30444">
        <w:rPr>
          <w:rFonts w:ascii="Times New Roman" w:hAnsi="Times New Roman" w:cs="Times New Roman"/>
          <w:sz w:val="24"/>
          <w:szCs w:val="24"/>
        </w:rPr>
        <w:t xml:space="preserve"> Ecuador es un Estado</w:t>
      </w:r>
      <w:r w:rsidR="00980DF9">
        <w:rPr>
          <w:rFonts w:ascii="Times New Roman" w:hAnsi="Times New Roman" w:cs="Times New Roman"/>
          <w:sz w:val="24"/>
          <w:szCs w:val="24"/>
        </w:rPr>
        <w:t xml:space="preserve"> constitucional</w:t>
      </w:r>
      <w:r w:rsidR="00404EAD" w:rsidRPr="00A30444">
        <w:rPr>
          <w:rFonts w:ascii="Times New Roman" w:hAnsi="Times New Roman" w:cs="Times New Roman"/>
          <w:sz w:val="24"/>
          <w:szCs w:val="24"/>
        </w:rPr>
        <w:t xml:space="preserve"> de derechos y justicia,</w:t>
      </w:r>
      <w:r>
        <w:rPr>
          <w:rFonts w:ascii="Times New Roman" w:hAnsi="Times New Roman" w:cs="Times New Roman"/>
          <w:sz w:val="24"/>
          <w:szCs w:val="24"/>
        </w:rPr>
        <w:t xml:space="preserve"> lo que implica, entre otros principios, </w:t>
      </w:r>
      <w:r w:rsidR="00980DF9">
        <w:rPr>
          <w:rFonts w:ascii="Times New Roman" w:hAnsi="Times New Roman" w:cs="Times New Roman"/>
          <w:sz w:val="24"/>
          <w:szCs w:val="24"/>
        </w:rPr>
        <w:t xml:space="preserve">que </w:t>
      </w:r>
      <w:r w:rsidR="00980DF9" w:rsidRPr="00980DF9">
        <w:rPr>
          <w:rFonts w:ascii="Times New Roman" w:hAnsi="Times New Roman" w:cs="Times New Roman"/>
          <w:sz w:val="24"/>
          <w:szCs w:val="24"/>
        </w:rPr>
        <w:t>lo</w:t>
      </w:r>
      <w:r w:rsidR="00980DF9">
        <w:rPr>
          <w:rFonts w:ascii="Times New Roman" w:hAnsi="Times New Roman" w:cs="Times New Roman"/>
          <w:sz w:val="24"/>
          <w:szCs w:val="24"/>
        </w:rPr>
        <w:t>s</w:t>
      </w:r>
      <w:r w:rsidR="00980DF9" w:rsidRPr="00980DF9">
        <w:rPr>
          <w:rFonts w:ascii="Times New Roman" w:hAnsi="Times New Roman" w:cs="Times New Roman"/>
          <w:sz w:val="24"/>
          <w:szCs w:val="24"/>
        </w:rPr>
        <w:t xml:space="preserve"> actos públicos y privados están sometidos a la</w:t>
      </w:r>
      <w:r w:rsidR="00980DF9">
        <w:rPr>
          <w:rFonts w:ascii="Times New Roman" w:hAnsi="Times New Roman" w:cs="Times New Roman"/>
          <w:sz w:val="24"/>
          <w:szCs w:val="24"/>
        </w:rPr>
        <w:t xml:space="preserve"> </w:t>
      </w:r>
      <w:r w:rsidR="00980DF9" w:rsidRPr="00980DF9">
        <w:rPr>
          <w:rFonts w:ascii="Times New Roman" w:hAnsi="Times New Roman" w:cs="Times New Roman"/>
          <w:sz w:val="24"/>
          <w:szCs w:val="24"/>
        </w:rPr>
        <w:t>Constitución,</w:t>
      </w:r>
      <w:r w:rsidR="00980DF9">
        <w:rPr>
          <w:rFonts w:ascii="Times New Roman" w:hAnsi="Times New Roman" w:cs="Times New Roman"/>
          <w:sz w:val="24"/>
          <w:szCs w:val="24"/>
        </w:rPr>
        <w:t xml:space="preserve"> la garantía de la aplicación de los derechos y </w:t>
      </w:r>
      <w:r>
        <w:rPr>
          <w:rFonts w:ascii="Times New Roman" w:hAnsi="Times New Roman" w:cs="Times New Roman"/>
          <w:sz w:val="24"/>
          <w:szCs w:val="24"/>
        </w:rPr>
        <w:t>la separación de funciones</w:t>
      </w:r>
      <w:r w:rsidR="00404EAD" w:rsidRPr="00A30444">
        <w:rPr>
          <w:rFonts w:ascii="Times New Roman" w:hAnsi="Times New Roman" w:cs="Times New Roman"/>
          <w:sz w:val="24"/>
          <w:szCs w:val="24"/>
        </w:rPr>
        <w:t>,</w:t>
      </w:r>
      <w:r w:rsidR="00980DF9">
        <w:rPr>
          <w:rFonts w:ascii="Times New Roman" w:hAnsi="Times New Roman" w:cs="Times New Roman"/>
          <w:sz w:val="24"/>
          <w:szCs w:val="24"/>
        </w:rPr>
        <w:t xml:space="preserve"> respecto a esta última</w:t>
      </w:r>
      <w:r w:rsidR="00404EAD" w:rsidRPr="00A30444">
        <w:rPr>
          <w:rFonts w:ascii="Times New Roman" w:hAnsi="Times New Roman" w:cs="Times New Roman"/>
          <w:sz w:val="24"/>
          <w:szCs w:val="24"/>
        </w:rPr>
        <w:t xml:space="preserve"> solo la</w:t>
      </w:r>
      <w:r w:rsidR="00980DF9">
        <w:rPr>
          <w:rFonts w:ascii="Times New Roman" w:hAnsi="Times New Roman" w:cs="Times New Roman"/>
          <w:sz w:val="24"/>
          <w:szCs w:val="24"/>
        </w:rPr>
        <w:t xml:space="preserve"> función legislativa</w:t>
      </w:r>
      <w:r w:rsidR="00404EAD" w:rsidRPr="00A30444">
        <w:rPr>
          <w:rFonts w:ascii="Times New Roman" w:hAnsi="Times New Roman" w:cs="Times New Roman"/>
          <w:sz w:val="24"/>
          <w:szCs w:val="24"/>
        </w:rPr>
        <w:t xml:space="preserve"> </w:t>
      </w:r>
      <w:r w:rsidR="00980DF9" w:rsidRPr="00A30444">
        <w:rPr>
          <w:rFonts w:ascii="Times New Roman" w:hAnsi="Times New Roman" w:cs="Times New Roman"/>
          <w:sz w:val="24"/>
          <w:szCs w:val="24"/>
        </w:rPr>
        <w:t xml:space="preserve"> </w:t>
      </w:r>
      <w:r w:rsidR="00404EAD" w:rsidRPr="00A30444">
        <w:rPr>
          <w:rFonts w:ascii="Times New Roman" w:hAnsi="Times New Roman" w:cs="Times New Roman"/>
          <w:sz w:val="24"/>
          <w:szCs w:val="24"/>
        </w:rPr>
        <w:t xml:space="preserve">puede mediante una reforma legal modificar las normas procedimentales </w:t>
      </w:r>
      <w:r w:rsidR="00980DF9">
        <w:rPr>
          <w:rFonts w:ascii="Times New Roman" w:hAnsi="Times New Roman" w:cs="Times New Roman"/>
          <w:sz w:val="24"/>
          <w:szCs w:val="24"/>
        </w:rPr>
        <w:t>relativas a</w:t>
      </w:r>
      <w:r w:rsidR="00404EAD" w:rsidRPr="00A30444">
        <w:rPr>
          <w:rFonts w:ascii="Times New Roman" w:hAnsi="Times New Roman" w:cs="Times New Roman"/>
          <w:sz w:val="24"/>
          <w:szCs w:val="24"/>
        </w:rPr>
        <w:t xml:space="preserve">l recurso de casación y que se encuentran establecidas en los artículos 656 y 657 del Código Orgánico Integral Penal, los cuales no </w:t>
      </w:r>
      <w:r w:rsidR="00980DF9">
        <w:rPr>
          <w:rFonts w:ascii="Times New Roman" w:hAnsi="Times New Roman" w:cs="Times New Roman"/>
          <w:sz w:val="24"/>
          <w:szCs w:val="24"/>
        </w:rPr>
        <w:t>contemplan una etapa</w:t>
      </w:r>
      <w:r w:rsidR="00404EAD" w:rsidRPr="00A30444">
        <w:rPr>
          <w:rFonts w:ascii="Times New Roman" w:hAnsi="Times New Roman" w:cs="Times New Roman"/>
          <w:sz w:val="24"/>
          <w:szCs w:val="24"/>
        </w:rPr>
        <w:t xml:space="preserve"> de admisibilidad</w:t>
      </w:r>
      <w:r w:rsidR="00980DF9">
        <w:rPr>
          <w:rFonts w:ascii="Times New Roman" w:hAnsi="Times New Roman" w:cs="Times New Roman"/>
          <w:sz w:val="24"/>
          <w:szCs w:val="24"/>
        </w:rPr>
        <w:t>. Aquello se justifica</w:t>
      </w:r>
      <w:r w:rsidR="00404EAD" w:rsidRPr="00A30444">
        <w:rPr>
          <w:rFonts w:ascii="Times New Roman" w:hAnsi="Times New Roman" w:cs="Times New Roman"/>
          <w:sz w:val="24"/>
          <w:szCs w:val="24"/>
        </w:rPr>
        <w:t xml:space="preserve"> por cuanto en materia penal, se tutelan derechos como libertad e integridad personal, lo cual no debe confundirse con los casos de casación en materia civil, donde están inmersos otros derechos y que en efecto se habla de admisible o no.</w:t>
      </w:r>
    </w:p>
    <w:p w14:paraId="36F4F6C0" w14:textId="52FEF994" w:rsidR="00980DF9" w:rsidRPr="00A30444" w:rsidRDefault="00404EAD"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Según la Corte Nacional de Justicia, las resoluciones que sirvieron para justificar la j</w:t>
      </w:r>
      <w:r w:rsidR="001E710D">
        <w:rPr>
          <w:rFonts w:ascii="Times New Roman" w:hAnsi="Times New Roman" w:cs="Times New Roman"/>
          <w:sz w:val="24"/>
          <w:szCs w:val="24"/>
        </w:rPr>
        <w:t>urisprudencia vinculante de la R</w:t>
      </w:r>
      <w:r w:rsidRPr="00A30444">
        <w:rPr>
          <w:rFonts w:ascii="Times New Roman" w:hAnsi="Times New Roman" w:cs="Times New Roman"/>
          <w:sz w:val="24"/>
          <w:szCs w:val="24"/>
        </w:rPr>
        <w:t>esolución</w:t>
      </w:r>
      <w:r w:rsidR="001E710D">
        <w:rPr>
          <w:rFonts w:ascii="Times New Roman" w:hAnsi="Times New Roman" w:cs="Times New Roman"/>
          <w:sz w:val="24"/>
          <w:szCs w:val="24"/>
        </w:rPr>
        <w:t xml:space="preserve"> No.</w:t>
      </w:r>
      <w:r w:rsidR="006F492C">
        <w:rPr>
          <w:rFonts w:ascii="Times New Roman" w:hAnsi="Times New Roman" w:cs="Times New Roman"/>
          <w:sz w:val="24"/>
          <w:szCs w:val="24"/>
        </w:rPr>
        <w:t xml:space="preserve"> 10-2015,  fueron: (a) R</w:t>
      </w:r>
      <w:r w:rsidRPr="00A30444">
        <w:rPr>
          <w:rFonts w:ascii="Times New Roman" w:hAnsi="Times New Roman" w:cs="Times New Roman"/>
          <w:sz w:val="24"/>
          <w:szCs w:val="24"/>
        </w:rPr>
        <w:t>esolución 798-2015, dictad</w:t>
      </w:r>
      <w:r w:rsidR="006F492C">
        <w:rPr>
          <w:rFonts w:ascii="Times New Roman" w:hAnsi="Times New Roman" w:cs="Times New Roman"/>
          <w:sz w:val="24"/>
          <w:szCs w:val="24"/>
        </w:rPr>
        <w:t>a el 01 de junio del 2015; (b) R</w:t>
      </w:r>
      <w:r w:rsidRPr="00A30444">
        <w:rPr>
          <w:rFonts w:ascii="Times New Roman" w:hAnsi="Times New Roman" w:cs="Times New Roman"/>
          <w:sz w:val="24"/>
          <w:szCs w:val="24"/>
        </w:rPr>
        <w:t xml:space="preserve">esolución 581-2015, dictada el 30 de mayo del 2015; (c) </w:t>
      </w:r>
      <w:r w:rsidR="006F492C">
        <w:rPr>
          <w:rFonts w:ascii="Times New Roman" w:hAnsi="Times New Roman" w:cs="Times New Roman"/>
          <w:sz w:val="24"/>
          <w:szCs w:val="24"/>
        </w:rPr>
        <w:t>R</w:t>
      </w:r>
      <w:r w:rsidRPr="00A30444">
        <w:rPr>
          <w:rFonts w:ascii="Times New Roman" w:hAnsi="Times New Roman" w:cs="Times New Roman"/>
          <w:sz w:val="24"/>
          <w:szCs w:val="24"/>
        </w:rPr>
        <w:t>esolución 627-2015, dicta</w:t>
      </w:r>
      <w:r w:rsidR="006F492C">
        <w:rPr>
          <w:rFonts w:ascii="Times New Roman" w:hAnsi="Times New Roman" w:cs="Times New Roman"/>
          <w:sz w:val="24"/>
          <w:szCs w:val="24"/>
        </w:rPr>
        <w:t>da el 15 de mayo del 2015; (d) R</w:t>
      </w:r>
      <w:r w:rsidRPr="00A30444">
        <w:rPr>
          <w:rFonts w:ascii="Times New Roman" w:hAnsi="Times New Roman" w:cs="Times New Roman"/>
          <w:sz w:val="24"/>
          <w:szCs w:val="24"/>
        </w:rPr>
        <w:t>esolución 430-2015, dictad</w:t>
      </w:r>
      <w:r w:rsidR="006F492C">
        <w:rPr>
          <w:rFonts w:ascii="Times New Roman" w:hAnsi="Times New Roman" w:cs="Times New Roman"/>
          <w:sz w:val="24"/>
          <w:szCs w:val="24"/>
        </w:rPr>
        <w:t>a el 09 de abril del 2015; (e) R</w:t>
      </w:r>
      <w:r w:rsidRPr="00A30444">
        <w:rPr>
          <w:rFonts w:ascii="Times New Roman" w:hAnsi="Times New Roman" w:cs="Times New Roman"/>
          <w:sz w:val="24"/>
          <w:szCs w:val="24"/>
        </w:rPr>
        <w:t>esolución 507- 2015, dictada el 27 de marzo del 2</w:t>
      </w:r>
      <w:r w:rsidR="006F492C">
        <w:rPr>
          <w:rFonts w:ascii="Times New Roman" w:hAnsi="Times New Roman" w:cs="Times New Roman"/>
          <w:sz w:val="24"/>
          <w:szCs w:val="24"/>
        </w:rPr>
        <w:t>015; (f) Resolución 475-2015; y, (g) R</w:t>
      </w:r>
      <w:r w:rsidRPr="00A30444">
        <w:rPr>
          <w:rFonts w:ascii="Times New Roman" w:hAnsi="Times New Roman" w:cs="Times New Roman"/>
          <w:sz w:val="24"/>
          <w:szCs w:val="24"/>
        </w:rPr>
        <w:t xml:space="preserve">esolución 407-2015, dictada el 24 de marzo del 2015. </w:t>
      </w:r>
      <w:r w:rsidR="00980DF9">
        <w:rPr>
          <w:rFonts w:ascii="Times New Roman" w:hAnsi="Times New Roman" w:cs="Times New Roman"/>
          <w:sz w:val="24"/>
          <w:szCs w:val="24"/>
        </w:rPr>
        <w:t>(Corte Constitucional, Sentencia 8-19-IN/21, 2021)</w:t>
      </w:r>
      <w:r w:rsidR="00980DF9" w:rsidRPr="00A30444" w:rsidDel="00980DF9">
        <w:rPr>
          <w:rFonts w:ascii="Times New Roman" w:hAnsi="Times New Roman" w:cs="Times New Roman"/>
          <w:sz w:val="24"/>
          <w:szCs w:val="24"/>
        </w:rPr>
        <w:t xml:space="preserve"> </w:t>
      </w:r>
    </w:p>
    <w:p w14:paraId="46213630" w14:textId="60AEF244" w:rsidR="00404EAD" w:rsidRPr="00A30444" w:rsidRDefault="00404EAD"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Los </w:t>
      </w:r>
      <w:r w:rsidR="0063748F">
        <w:rPr>
          <w:rFonts w:ascii="Times New Roman" w:hAnsi="Times New Roman" w:cs="Times New Roman"/>
          <w:sz w:val="24"/>
          <w:szCs w:val="24"/>
        </w:rPr>
        <w:t>J</w:t>
      </w:r>
      <w:r w:rsidRPr="00A30444">
        <w:rPr>
          <w:rFonts w:ascii="Times New Roman" w:hAnsi="Times New Roman" w:cs="Times New Roman"/>
          <w:sz w:val="24"/>
          <w:szCs w:val="24"/>
        </w:rPr>
        <w:t>ueces de la Corte Nacional de Justicia, considera</w:t>
      </w:r>
      <w:r w:rsidR="006F7ABF">
        <w:rPr>
          <w:rFonts w:ascii="Times New Roman" w:hAnsi="Times New Roman" w:cs="Times New Roman"/>
          <w:sz w:val="24"/>
          <w:szCs w:val="24"/>
        </w:rPr>
        <w:t>ron</w:t>
      </w:r>
      <w:r w:rsidRPr="00A30444">
        <w:rPr>
          <w:rFonts w:ascii="Times New Roman" w:hAnsi="Times New Roman" w:cs="Times New Roman"/>
          <w:sz w:val="24"/>
          <w:szCs w:val="24"/>
        </w:rPr>
        <w:t xml:space="preserve"> que era necesaria dicha </w:t>
      </w:r>
      <w:r w:rsidR="006F7ABF">
        <w:rPr>
          <w:rFonts w:ascii="Times New Roman" w:hAnsi="Times New Roman" w:cs="Times New Roman"/>
          <w:sz w:val="24"/>
          <w:szCs w:val="24"/>
        </w:rPr>
        <w:t>R</w:t>
      </w:r>
      <w:r w:rsidRPr="00A30444">
        <w:rPr>
          <w:rFonts w:ascii="Times New Roman" w:hAnsi="Times New Roman" w:cs="Times New Roman"/>
          <w:sz w:val="24"/>
          <w:szCs w:val="24"/>
        </w:rPr>
        <w:t>esolución</w:t>
      </w:r>
      <w:r w:rsidR="006F7ABF">
        <w:rPr>
          <w:rFonts w:ascii="Times New Roman" w:hAnsi="Times New Roman" w:cs="Times New Roman"/>
          <w:sz w:val="24"/>
          <w:szCs w:val="24"/>
        </w:rPr>
        <w:t xml:space="preserve"> No</w:t>
      </w:r>
      <w:r w:rsidR="00876F34">
        <w:rPr>
          <w:rFonts w:ascii="Times New Roman" w:hAnsi="Times New Roman" w:cs="Times New Roman"/>
          <w:sz w:val="24"/>
          <w:szCs w:val="24"/>
        </w:rPr>
        <w:t>.</w:t>
      </w:r>
      <w:r w:rsidRPr="00A30444">
        <w:rPr>
          <w:rFonts w:ascii="Times New Roman" w:hAnsi="Times New Roman" w:cs="Times New Roman"/>
          <w:sz w:val="24"/>
          <w:szCs w:val="24"/>
        </w:rPr>
        <w:t xml:space="preserve"> 10-2015, por cuanto  existían un sinnúmero de recursos de casación penal que se inadmitían y que generaban una enorme carga procesal que ahogaban a la Corte y que  la mayoría de recursos no tenían un fundamento técnico, es decir,  el 90 % de recursos de casación eran improcedentes</w:t>
      </w:r>
      <w:r w:rsidR="00911CDC">
        <w:rPr>
          <w:rFonts w:ascii="Times New Roman" w:hAnsi="Times New Roman" w:cs="Times New Roman"/>
          <w:sz w:val="24"/>
          <w:szCs w:val="24"/>
        </w:rPr>
        <w:t>; y,</w:t>
      </w:r>
      <w:r w:rsidRPr="00A30444">
        <w:rPr>
          <w:rFonts w:ascii="Times New Roman" w:hAnsi="Times New Roman" w:cs="Times New Roman"/>
          <w:sz w:val="24"/>
          <w:szCs w:val="24"/>
        </w:rPr>
        <w:t xml:space="preserve"> el 10% necesitaban casación oficiosa, es decir, el juez debería resolver de oficio cuando detectaba una violación  a la ley.</w:t>
      </w:r>
    </w:p>
    <w:p w14:paraId="49911EDD" w14:textId="76D9AF21" w:rsidR="00404EAD" w:rsidRPr="00A30444" w:rsidRDefault="00404EAD"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En estas líneas se considera que la Corte </w:t>
      </w:r>
      <w:r w:rsidR="00876F34">
        <w:rPr>
          <w:rFonts w:ascii="Times New Roman" w:hAnsi="Times New Roman" w:cs="Times New Roman"/>
          <w:sz w:val="24"/>
          <w:szCs w:val="24"/>
        </w:rPr>
        <w:t>Nacional de Justicia</w:t>
      </w:r>
      <w:r w:rsidR="00911CDC">
        <w:rPr>
          <w:rFonts w:ascii="Times New Roman" w:hAnsi="Times New Roman" w:cs="Times New Roman"/>
          <w:sz w:val="24"/>
          <w:szCs w:val="24"/>
        </w:rPr>
        <w:t>,</w:t>
      </w:r>
      <w:r w:rsidR="00876F34">
        <w:rPr>
          <w:rFonts w:ascii="Times New Roman" w:hAnsi="Times New Roman" w:cs="Times New Roman"/>
          <w:sz w:val="24"/>
          <w:szCs w:val="24"/>
        </w:rPr>
        <w:t xml:space="preserve"> con dicha R</w:t>
      </w:r>
      <w:r w:rsidRPr="00A30444">
        <w:rPr>
          <w:rFonts w:ascii="Times New Roman" w:hAnsi="Times New Roman" w:cs="Times New Roman"/>
          <w:sz w:val="24"/>
          <w:szCs w:val="24"/>
        </w:rPr>
        <w:t xml:space="preserve">esolución </w:t>
      </w:r>
      <w:r w:rsidR="00876F34">
        <w:rPr>
          <w:rFonts w:ascii="Times New Roman" w:hAnsi="Times New Roman" w:cs="Times New Roman"/>
          <w:sz w:val="24"/>
          <w:szCs w:val="24"/>
        </w:rPr>
        <w:t xml:space="preserve">No. </w:t>
      </w:r>
      <w:r w:rsidRPr="00A30444">
        <w:rPr>
          <w:rFonts w:ascii="Times New Roman" w:hAnsi="Times New Roman" w:cs="Times New Roman"/>
          <w:sz w:val="24"/>
          <w:szCs w:val="24"/>
        </w:rPr>
        <w:t xml:space="preserve">10-2015, confunde la fase de admisibilidad del COGEP con el COIP, creando un trámite no </w:t>
      </w:r>
      <w:r w:rsidR="00F32852">
        <w:rPr>
          <w:rFonts w:ascii="Times New Roman" w:hAnsi="Times New Roman" w:cs="Times New Roman"/>
          <w:sz w:val="24"/>
          <w:szCs w:val="24"/>
        </w:rPr>
        <w:t>contemplado</w:t>
      </w:r>
      <w:r w:rsidR="00F32852" w:rsidRPr="00A30444">
        <w:rPr>
          <w:rFonts w:ascii="Times New Roman" w:hAnsi="Times New Roman" w:cs="Times New Roman"/>
          <w:sz w:val="24"/>
          <w:szCs w:val="24"/>
        </w:rPr>
        <w:t xml:space="preserve"> </w:t>
      </w:r>
      <w:r w:rsidRPr="00A30444">
        <w:rPr>
          <w:rFonts w:ascii="Times New Roman" w:hAnsi="Times New Roman" w:cs="Times New Roman"/>
          <w:sz w:val="24"/>
          <w:szCs w:val="24"/>
        </w:rPr>
        <w:t xml:space="preserve">en la </w:t>
      </w:r>
      <w:r w:rsidR="002713DB" w:rsidRPr="00A30444">
        <w:rPr>
          <w:rFonts w:ascii="Times New Roman" w:hAnsi="Times New Roman" w:cs="Times New Roman"/>
          <w:sz w:val="24"/>
          <w:szCs w:val="24"/>
        </w:rPr>
        <w:t>ley, vulnerando</w:t>
      </w:r>
      <w:r w:rsidRPr="00A30444">
        <w:rPr>
          <w:rFonts w:ascii="Times New Roman" w:hAnsi="Times New Roman" w:cs="Times New Roman"/>
          <w:sz w:val="24"/>
          <w:szCs w:val="24"/>
        </w:rPr>
        <w:t xml:space="preserve"> el derecho al debido proceso, derecho a la defensa y seguridad jurídica. </w:t>
      </w:r>
    </w:p>
    <w:p w14:paraId="139A7219" w14:textId="596112CE" w:rsidR="00404EAD" w:rsidRPr="00A30444" w:rsidRDefault="00580A0A"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lo expuesto la </w:t>
      </w:r>
      <w:r w:rsidR="00404EAD" w:rsidRPr="00A30444">
        <w:rPr>
          <w:rFonts w:ascii="Times New Roman" w:hAnsi="Times New Roman" w:cs="Times New Roman"/>
          <w:sz w:val="24"/>
          <w:szCs w:val="24"/>
        </w:rPr>
        <w:t>Corte Constitucional</w:t>
      </w:r>
      <w:r w:rsidR="00911CDC">
        <w:rPr>
          <w:rFonts w:ascii="Times New Roman" w:hAnsi="Times New Roman" w:cs="Times New Roman"/>
          <w:sz w:val="24"/>
          <w:szCs w:val="24"/>
        </w:rPr>
        <w:t>,</w:t>
      </w:r>
      <w:r w:rsidR="00404EAD" w:rsidRPr="00A30444">
        <w:rPr>
          <w:rFonts w:ascii="Times New Roman" w:hAnsi="Times New Roman" w:cs="Times New Roman"/>
          <w:sz w:val="24"/>
          <w:szCs w:val="24"/>
        </w:rPr>
        <w:t xml:space="preserve"> </w:t>
      </w:r>
      <w:r w:rsidR="00F32852">
        <w:rPr>
          <w:rFonts w:ascii="Times New Roman" w:hAnsi="Times New Roman" w:cs="Times New Roman"/>
          <w:sz w:val="24"/>
          <w:szCs w:val="24"/>
        </w:rPr>
        <w:t>pudo</w:t>
      </w:r>
      <w:r w:rsidR="00404EAD" w:rsidRPr="00A30444">
        <w:rPr>
          <w:rFonts w:ascii="Times New Roman" w:hAnsi="Times New Roman" w:cs="Times New Roman"/>
          <w:sz w:val="24"/>
          <w:szCs w:val="24"/>
        </w:rPr>
        <w:t xml:space="preserve"> comprobar que dichas resoluciones constituyeron autos interlocutorios que resolvieron la inadmisión del recurso de casación interpuesto; y</w:t>
      </w:r>
      <w:r w:rsidR="00911CDC">
        <w:rPr>
          <w:rFonts w:ascii="Times New Roman" w:hAnsi="Times New Roman" w:cs="Times New Roman"/>
          <w:sz w:val="24"/>
          <w:szCs w:val="24"/>
        </w:rPr>
        <w:t>,</w:t>
      </w:r>
      <w:r w:rsidR="00404EAD" w:rsidRPr="00A30444">
        <w:rPr>
          <w:rFonts w:ascii="Times New Roman" w:hAnsi="Times New Roman" w:cs="Times New Roman"/>
          <w:sz w:val="24"/>
          <w:szCs w:val="24"/>
        </w:rPr>
        <w:t xml:space="preserve"> que por tanto no cumplían con el primer requisito que la </w:t>
      </w:r>
      <w:r w:rsidR="00AB5EAB" w:rsidRPr="00A30444">
        <w:rPr>
          <w:rFonts w:ascii="Times New Roman" w:hAnsi="Times New Roman" w:cs="Times New Roman"/>
          <w:sz w:val="24"/>
          <w:szCs w:val="24"/>
        </w:rPr>
        <w:t>C</w:t>
      </w:r>
      <w:r w:rsidR="00AB5EAB">
        <w:rPr>
          <w:rFonts w:ascii="Times New Roman" w:hAnsi="Times New Roman" w:cs="Times New Roman"/>
          <w:sz w:val="24"/>
          <w:szCs w:val="24"/>
        </w:rPr>
        <w:t>onstitución</w:t>
      </w:r>
      <w:r w:rsidR="00404EAD" w:rsidRPr="00A30444">
        <w:rPr>
          <w:rFonts w:ascii="Times New Roman" w:hAnsi="Times New Roman" w:cs="Times New Roman"/>
          <w:sz w:val="24"/>
          <w:szCs w:val="24"/>
        </w:rPr>
        <w:t xml:space="preserve"> ha establecido para la procedencia de este tipo de resoluciones de jurisprudencia vinculante, a saber, que la reiteración de criterio se e</w:t>
      </w:r>
      <w:r w:rsidR="00F12001">
        <w:rPr>
          <w:rFonts w:ascii="Times New Roman" w:hAnsi="Times New Roman" w:cs="Times New Roman"/>
          <w:sz w:val="24"/>
          <w:szCs w:val="24"/>
        </w:rPr>
        <w:t>ncuentre expresada en sentencia</w:t>
      </w:r>
      <w:r w:rsidR="00404EAD" w:rsidRPr="00A30444">
        <w:rPr>
          <w:rFonts w:ascii="Times New Roman" w:hAnsi="Times New Roman" w:cs="Times New Roman"/>
          <w:sz w:val="24"/>
          <w:szCs w:val="24"/>
        </w:rPr>
        <w:t xml:space="preserve"> </w:t>
      </w:r>
      <w:r w:rsidR="00AB5EAB">
        <w:rPr>
          <w:rFonts w:ascii="Times New Roman" w:hAnsi="Times New Roman" w:cs="Times New Roman"/>
          <w:sz w:val="24"/>
          <w:szCs w:val="24"/>
        </w:rPr>
        <w:t>o auto interlocutorio que resuelva el fondo del asunto</w:t>
      </w:r>
      <w:r w:rsidR="00AB5EAB" w:rsidRPr="00A30444">
        <w:rPr>
          <w:rFonts w:ascii="Times New Roman" w:hAnsi="Times New Roman" w:cs="Times New Roman"/>
          <w:sz w:val="24"/>
          <w:szCs w:val="24"/>
        </w:rPr>
        <w:t>, conforme al primer inciso del artículo 185 de la</w:t>
      </w:r>
      <w:r w:rsidR="00AB5EAB">
        <w:rPr>
          <w:rFonts w:ascii="Times New Roman" w:hAnsi="Times New Roman" w:cs="Times New Roman"/>
          <w:sz w:val="24"/>
          <w:szCs w:val="24"/>
        </w:rPr>
        <w:t xml:space="preserve"> Constitución.</w:t>
      </w:r>
    </w:p>
    <w:p w14:paraId="25FAE92E" w14:textId="40D34ABD" w:rsidR="00404EAD" w:rsidRPr="00A30444" w:rsidRDefault="0063748F"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decir, en este </w:t>
      </w:r>
      <w:r w:rsidR="00404EAD" w:rsidRPr="00A30444">
        <w:rPr>
          <w:rFonts w:ascii="Times New Roman" w:hAnsi="Times New Roman" w:cs="Times New Roman"/>
          <w:sz w:val="24"/>
          <w:szCs w:val="24"/>
        </w:rPr>
        <w:t>caso, los autos que fueron empleados por la Corte Nacional como base de su resolución de jurisprudencia vinculante, correspondieron a autos que fueron emitidos durante una etapa procesal fase de admisión no prevista en ese momento en el COIP, y que en consecuencia patentizaron una violación al debido proceso, careciendo de validez jurídica, y no pudiendo ser empleadas para la configuración de jurisprudencia vinculante</w:t>
      </w:r>
      <w:r w:rsidR="00911CDC">
        <w:rPr>
          <w:rFonts w:ascii="Times New Roman" w:hAnsi="Times New Roman" w:cs="Times New Roman"/>
          <w:sz w:val="24"/>
          <w:szCs w:val="24"/>
        </w:rPr>
        <w:t>.</w:t>
      </w:r>
      <w:r w:rsidR="00404EAD" w:rsidRPr="00A30444">
        <w:rPr>
          <w:rFonts w:ascii="Times New Roman" w:hAnsi="Times New Roman" w:cs="Times New Roman"/>
          <w:sz w:val="24"/>
          <w:szCs w:val="24"/>
        </w:rPr>
        <w:t xml:space="preserve"> </w:t>
      </w:r>
      <w:r w:rsidR="00F32852">
        <w:rPr>
          <w:rFonts w:ascii="Times New Roman" w:hAnsi="Times New Roman" w:cs="Times New Roman"/>
          <w:sz w:val="24"/>
          <w:szCs w:val="24"/>
        </w:rPr>
        <w:t>(Corte Constitucional, Sentencia 8-19-IN/21, 2021)</w:t>
      </w:r>
      <w:r w:rsidR="00F32852" w:rsidRPr="00A30444" w:rsidDel="00F32852">
        <w:rPr>
          <w:rFonts w:ascii="Times New Roman" w:hAnsi="Times New Roman" w:cs="Times New Roman"/>
          <w:sz w:val="24"/>
          <w:szCs w:val="24"/>
        </w:rPr>
        <w:t xml:space="preserve"> </w:t>
      </w:r>
    </w:p>
    <w:p w14:paraId="25D04821" w14:textId="75E06FBD" w:rsidR="00404EAD" w:rsidRPr="00A30444" w:rsidRDefault="00404EAD"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La Corte Constitucional determina que la </w:t>
      </w:r>
      <w:r w:rsidR="00340B99">
        <w:rPr>
          <w:rFonts w:ascii="Times New Roman" w:hAnsi="Times New Roman" w:cs="Times New Roman"/>
          <w:sz w:val="24"/>
          <w:szCs w:val="24"/>
        </w:rPr>
        <w:t>R</w:t>
      </w:r>
      <w:r w:rsidRPr="00A30444">
        <w:rPr>
          <w:rFonts w:ascii="Times New Roman" w:hAnsi="Times New Roman" w:cs="Times New Roman"/>
          <w:sz w:val="24"/>
          <w:szCs w:val="24"/>
        </w:rPr>
        <w:t>esolución</w:t>
      </w:r>
      <w:r w:rsidR="006F492C">
        <w:rPr>
          <w:rFonts w:ascii="Times New Roman" w:hAnsi="Times New Roman" w:cs="Times New Roman"/>
          <w:sz w:val="24"/>
          <w:szCs w:val="24"/>
        </w:rPr>
        <w:t xml:space="preserve"> No.</w:t>
      </w:r>
      <w:r w:rsidRPr="00A30444">
        <w:rPr>
          <w:rFonts w:ascii="Times New Roman" w:hAnsi="Times New Roman" w:cs="Times New Roman"/>
          <w:sz w:val="24"/>
          <w:szCs w:val="24"/>
        </w:rPr>
        <w:t xml:space="preserve">10-2015, es inconstitucional por la forma, desde el punto </w:t>
      </w:r>
      <w:r w:rsidR="00F32852">
        <w:rPr>
          <w:rFonts w:ascii="Times New Roman" w:hAnsi="Times New Roman" w:cs="Times New Roman"/>
          <w:sz w:val="24"/>
          <w:szCs w:val="24"/>
        </w:rPr>
        <w:t xml:space="preserve">de vista </w:t>
      </w:r>
      <w:r w:rsidRPr="00A30444">
        <w:rPr>
          <w:rFonts w:ascii="Times New Roman" w:hAnsi="Times New Roman" w:cs="Times New Roman"/>
          <w:sz w:val="24"/>
          <w:szCs w:val="24"/>
        </w:rPr>
        <w:t xml:space="preserve">de la </w:t>
      </w:r>
      <w:r w:rsidR="00F12001">
        <w:rPr>
          <w:rFonts w:ascii="Times New Roman" w:hAnsi="Times New Roman" w:cs="Times New Roman"/>
          <w:sz w:val="24"/>
          <w:szCs w:val="24"/>
        </w:rPr>
        <w:t xml:space="preserve">seguridad </w:t>
      </w:r>
      <w:r w:rsidR="009F529A">
        <w:rPr>
          <w:rFonts w:ascii="Times New Roman" w:hAnsi="Times New Roman" w:cs="Times New Roman"/>
          <w:sz w:val="24"/>
          <w:szCs w:val="24"/>
        </w:rPr>
        <w:t>jurídica</w:t>
      </w:r>
      <w:r w:rsidRPr="00A30444">
        <w:rPr>
          <w:rFonts w:ascii="Times New Roman" w:hAnsi="Times New Roman" w:cs="Times New Roman"/>
          <w:sz w:val="24"/>
          <w:szCs w:val="24"/>
        </w:rPr>
        <w:t xml:space="preserve">, por cuanto contraviene </w:t>
      </w:r>
      <w:r w:rsidR="00F32852">
        <w:rPr>
          <w:rFonts w:ascii="Times New Roman" w:hAnsi="Times New Roman" w:cs="Times New Roman"/>
          <w:sz w:val="24"/>
          <w:szCs w:val="24"/>
        </w:rPr>
        <w:t>el</w:t>
      </w:r>
      <w:r w:rsidR="00F32852" w:rsidRPr="00A30444">
        <w:rPr>
          <w:rFonts w:ascii="Times New Roman" w:hAnsi="Times New Roman" w:cs="Times New Roman"/>
          <w:sz w:val="24"/>
          <w:szCs w:val="24"/>
        </w:rPr>
        <w:t xml:space="preserve"> </w:t>
      </w:r>
      <w:r w:rsidRPr="00A30444">
        <w:rPr>
          <w:rFonts w:ascii="Times New Roman" w:hAnsi="Times New Roman" w:cs="Times New Roman"/>
          <w:sz w:val="24"/>
          <w:szCs w:val="24"/>
        </w:rPr>
        <w:t>procedimiento establecido en la Constituci</w:t>
      </w:r>
      <w:r w:rsidR="00DB38F1" w:rsidRPr="00A30444">
        <w:rPr>
          <w:rFonts w:ascii="Times New Roman" w:hAnsi="Times New Roman" w:cs="Times New Roman"/>
          <w:sz w:val="24"/>
          <w:szCs w:val="24"/>
        </w:rPr>
        <w:t>ón de la República del Ecuador,</w:t>
      </w:r>
      <w:r w:rsidR="00F32852">
        <w:rPr>
          <w:rFonts w:ascii="Times New Roman" w:hAnsi="Times New Roman" w:cs="Times New Roman"/>
          <w:sz w:val="24"/>
          <w:szCs w:val="24"/>
        </w:rPr>
        <w:t xml:space="preserve"> no obstante, dicha Corte</w:t>
      </w:r>
      <w:r w:rsidR="00DB38F1" w:rsidRPr="00A30444">
        <w:rPr>
          <w:rFonts w:ascii="Times New Roman" w:hAnsi="Times New Roman" w:cs="Times New Roman"/>
          <w:sz w:val="24"/>
          <w:szCs w:val="24"/>
        </w:rPr>
        <w:t xml:space="preserve"> no analiza la inconstitucionalidad por el fondo, </w:t>
      </w:r>
      <w:r w:rsidR="00F32852">
        <w:rPr>
          <w:rFonts w:ascii="Times New Roman" w:hAnsi="Times New Roman" w:cs="Times New Roman"/>
          <w:sz w:val="24"/>
          <w:szCs w:val="24"/>
        </w:rPr>
        <w:t>respecto a la vulneración</w:t>
      </w:r>
      <w:r w:rsidR="0063748F">
        <w:rPr>
          <w:rFonts w:ascii="Times New Roman" w:hAnsi="Times New Roman" w:cs="Times New Roman"/>
          <w:sz w:val="24"/>
          <w:szCs w:val="24"/>
        </w:rPr>
        <w:t xml:space="preserve"> </w:t>
      </w:r>
      <w:r w:rsidR="00F32852">
        <w:rPr>
          <w:rFonts w:ascii="Times New Roman" w:hAnsi="Times New Roman" w:cs="Times New Roman"/>
          <w:sz w:val="24"/>
          <w:szCs w:val="24"/>
        </w:rPr>
        <w:t>d</w:t>
      </w:r>
      <w:r w:rsidR="0063748F">
        <w:rPr>
          <w:rFonts w:ascii="Times New Roman" w:hAnsi="Times New Roman" w:cs="Times New Roman"/>
          <w:sz w:val="24"/>
          <w:szCs w:val="24"/>
        </w:rPr>
        <w:t xml:space="preserve">el derecho a </w:t>
      </w:r>
      <w:r w:rsidR="0079035C">
        <w:rPr>
          <w:rFonts w:ascii="Times New Roman" w:hAnsi="Times New Roman" w:cs="Times New Roman"/>
          <w:sz w:val="24"/>
          <w:szCs w:val="24"/>
        </w:rPr>
        <w:t>la defensa de los justiciables.</w:t>
      </w:r>
    </w:p>
    <w:p w14:paraId="4DAF66C2" w14:textId="28726EE0" w:rsidR="00404EAD" w:rsidRPr="00A30444" w:rsidRDefault="0063748F"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Dicha </w:t>
      </w:r>
      <w:proofErr w:type="gramStart"/>
      <w:r>
        <w:rPr>
          <w:rFonts w:ascii="Times New Roman" w:hAnsi="Times New Roman" w:cs="Times New Roman"/>
          <w:sz w:val="24"/>
          <w:szCs w:val="24"/>
        </w:rPr>
        <w:t xml:space="preserve">Resolución </w:t>
      </w:r>
      <w:r w:rsidR="00F12001">
        <w:rPr>
          <w:rFonts w:ascii="Times New Roman" w:hAnsi="Times New Roman" w:cs="Times New Roman"/>
          <w:sz w:val="24"/>
          <w:szCs w:val="24"/>
        </w:rPr>
        <w:t xml:space="preserve"> No</w:t>
      </w:r>
      <w:proofErr w:type="gramEnd"/>
      <w:r w:rsidR="00F12001">
        <w:rPr>
          <w:rFonts w:ascii="Times New Roman" w:hAnsi="Times New Roman" w:cs="Times New Roman"/>
          <w:sz w:val="24"/>
          <w:szCs w:val="24"/>
        </w:rPr>
        <w:t>. 1</w:t>
      </w:r>
      <w:r>
        <w:rPr>
          <w:rFonts w:ascii="Times New Roman" w:hAnsi="Times New Roman" w:cs="Times New Roman"/>
          <w:sz w:val="24"/>
          <w:szCs w:val="24"/>
        </w:rPr>
        <w:t>0-2015, además es contraria a lo establecido en</w:t>
      </w:r>
      <w:r w:rsidR="00404EAD" w:rsidRPr="00A30444">
        <w:rPr>
          <w:rFonts w:ascii="Times New Roman" w:hAnsi="Times New Roman" w:cs="Times New Roman"/>
          <w:sz w:val="24"/>
          <w:szCs w:val="24"/>
        </w:rPr>
        <w:t xml:space="preserve"> el artículo 11.4 de la Constitución de la República del Ecuador, </w:t>
      </w:r>
      <w:r>
        <w:rPr>
          <w:rFonts w:ascii="Times New Roman" w:hAnsi="Times New Roman" w:cs="Times New Roman"/>
          <w:sz w:val="24"/>
          <w:szCs w:val="24"/>
        </w:rPr>
        <w:t xml:space="preserve">que </w:t>
      </w:r>
      <w:r w:rsidR="00404EAD" w:rsidRPr="00A30444">
        <w:rPr>
          <w:rFonts w:ascii="Times New Roman" w:hAnsi="Times New Roman" w:cs="Times New Roman"/>
          <w:sz w:val="24"/>
          <w:szCs w:val="24"/>
        </w:rPr>
        <w:t xml:space="preserve">señala: “Ninguna norma jurídica podrá restringir el contenido de los derechos ni de las garantías constitucionales” (2008, p.12), situación que guarda armonía con lo establecido en </w:t>
      </w:r>
      <w:r w:rsidR="00574668" w:rsidRPr="00A30444">
        <w:rPr>
          <w:rFonts w:ascii="Times New Roman" w:hAnsi="Times New Roman" w:cs="Times New Roman"/>
          <w:sz w:val="24"/>
          <w:szCs w:val="24"/>
        </w:rPr>
        <w:t>el artículo</w:t>
      </w:r>
      <w:r w:rsidR="00404EAD" w:rsidRPr="00A30444">
        <w:rPr>
          <w:rFonts w:ascii="Times New Roman" w:hAnsi="Times New Roman" w:cs="Times New Roman"/>
          <w:sz w:val="24"/>
          <w:szCs w:val="24"/>
        </w:rPr>
        <w:t xml:space="preserve"> 75, ibídem que </w:t>
      </w:r>
      <w:r w:rsidR="00574668" w:rsidRPr="00A30444">
        <w:rPr>
          <w:rFonts w:ascii="Times New Roman" w:hAnsi="Times New Roman" w:cs="Times New Roman"/>
          <w:sz w:val="24"/>
          <w:szCs w:val="24"/>
        </w:rPr>
        <w:t>garantiza el</w:t>
      </w:r>
      <w:r w:rsidR="00404EAD" w:rsidRPr="00A30444">
        <w:rPr>
          <w:rFonts w:ascii="Times New Roman" w:hAnsi="Times New Roman" w:cs="Times New Roman"/>
          <w:sz w:val="24"/>
          <w:szCs w:val="24"/>
        </w:rPr>
        <w:t xml:space="preserve"> acceso a la justicia.</w:t>
      </w:r>
    </w:p>
    <w:p w14:paraId="7AEB156D" w14:textId="33D8EC95" w:rsidR="00C6612F" w:rsidRPr="00A30444" w:rsidRDefault="00C6612F"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En este sentido la </w:t>
      </w:r>
      <w:r>
        <w:rPr>
          <w:rFonts w:ascii="Times New Roman" w:hAnsi="Times New Roman" w:cs="Times New Roman"/>
          <w:sz w:val="24"/>
          <w:szCs w:val="24"/>
        </w:rPr>
        <w:t>R</w:t>
      </w:r>
      <w:r w:rsidRPr="00A30444">
        <w:rPr>
          <w:rFonts w:ascii="Times New Roman" w:hAnsi="Times New Roman" w:cs="Times New Roman"/>
          <w:sz w:val="24"/>
          <w:szCs w:val="24"/>
        </w:rPr>
        <w:t xml:space="preserve">esolución </w:t>
      </w:r>
      <w:r>
        <w:rPr>
          <w:rFonts w:ascii="Times New Roman" w:hAnsi="Times New Roman" w:cs="Times New Roman"/>
          <w:sz w:val="24"/>
          <w:szCs w:val="24"/>
        </w:rPr>
        <w:t xml:space="preserve">No. </w:t>
      </w:r>
      <w:r w:rsidRPr="00A30444">
        <w:rPr>
          <w:rFonts w:ascii="Times New Roman" w:hAnsi="Times New Roman" w:cs="Times New Roman"/>
          <w:sz w:val="24"/>
          <w:szCs w:val="24"/>
        </w:rPr>
        <w:t>10-2015, vulnera el derecho a la defensa por cuanto el artículo 657 del Código Orgánico Integral Penal, al referirse al procedimiento</w:t>
      </w:r>
      <w:r>
        <w:rPr>
          <w:rFonts w:ascii="Times New Roman" w:hAnsi="Times New Roman" w:cs="Times New Roman"/>
          <w:sz w:val="24"/>
          <w:szCs w:val="24"/>
        </w:rPr>
        <w:t xml:space="preserve"> para la sustanciación de la casación penal</w:t>
      </w:r>
      <w:r w:rsidRPr="00A30444">
        <w:rPr>
          <w:rFonts w:ascii="Times New Roman" w:hAnsi="Times New Roman" w:cs="Times New Roman"/>
          <w:sz w:val="24"/>
          <w:szCs w:val="24"/>
        </w:rPr>
        <w:t>, no establece ninguna fase de admisibilidad. La citada norma legal, es clara, señala que el recurso de casación se resolverá mediante audiencia, que el debate es técnico, sin embargo al haber bloqueado o limitado el acceso a la justicia mediante esta resolución, vulnera además el principio establecido en el artículo 11.3 de la norma constitucional, que señala</w:t>
      </w:r>
      <w:r w:rsidR="00F32852">
        <w:rPr>
          <w:rFonts w:ascii="Times New Roman" w:hAnsi="Times New Roman" w:cs="Times New Roman"/>
          <w:sz w:val="24"/>
          <w:szCs w:val="24"/>
        </w:rPr>
        <w:t xml:space="preserve"> que l</w:t>
      </w:r>
      <w:r w:rsidRPr="00A30444">
        <w:rPr>
          <w:rFonts w:ascii="Times New Roman" w:hAnsi="Times New Roman" w:cs="Times New Roman"/>
          <w:sz w:val="24"/>
          <w:szCs w:val="24"/>
        </w:rPr>
        <w:t>os derechos y garantías establecidos en la Constitución y en los instrumentos internacionales de derechos humanos son de obligatoria aplicación por los servidores ya sean judiciales, administrativos u otros, de oficio o a petición de parte.</w:t>
      </w:r>
      <w:r w:rsidR="00F32852">
        <w:rPr>
          <w:rFonts w:ascii="Times New Roman" w:hAnsi="Times New Roman" w:cs="Times New Roman"/>
          <w:sz w:val="24"/>
          <w:szCs w:val="24"/>
        </w:rPr>
        <w:t xml:space="preserve"> </w:t>
      </w:r>
      <w:r w:rsidRPr="00A30444">
        <w:rPr>
          <w:rFonts w:ascii="Times New Roman" w:hAnsi="Times New Roman" w:cs="Times New Roman"/>
          <w:sz w:val="24"/>
          <w:szCs w:val="24"/>
        </w:rPr>
        <w:t>(Constitución 2008, p. 12)</w:t>
      </w:r>
    </w:p>
    <w:p w14:paraId="1FD0AE14" w14:textId="2F57EF36" w:rsidR="00AF712E" w:rsidRPr="00DB77D8" w:rsidRDefault="00AF712E" w:rsidP="00B21A77">
      <w:pPr>
        <w:spacing w:line="360" w:lineRule="auto"/>
        <w:rPr>
          <w:rFonts w:ascii="Times New Roman" w:hAnsi="Times New Roman" w:cs="Times New Roman"/>
          <w:b/>
          <w:sz w:val="24"/>
          <w:szCs w:val="24"/>
        </w:rPr>
      </w:pPr>
      <w:r w:rsidRPr="00A30444">
        <w:rPr>
          <w:rFonts w:ascii="Times New Roman" w:hAnsi="Times New Roman" w:cs="Times New Roman"/>
          <w:b/>
          <w:sz w:val="24"/>
          <w:szCs w:val="24"/>
        </w:rPr>
        <w:t>Atribuciones de la Corte Nacional de Justicia</w:t>
      </w:r>
      <w:r w:rsidR="001A6D67">
        <w:rPr>
          <w:rFonts w:ascii="Times New Roman" w:hAnsi="Times New Roman" w:cs="Times New Roman"/>
          <w:b/>
          <w:sz w:val="24"/>
          <w:szCs w:val="24"/>
        </w:rPr>
        <w:t xml:space="preserve">. </w:t>
      </w:r>
      <w:r w:rsidR="00877650">
        <w:rPr>
          <w:rFonts w:ascii="Times New Roman" w:hAnsi="Times New Roman" w:cs="Times New Roman"/>
          <w:b/>
          <w:sz w:val="24"/>
          <w:szCs w:val="24"/>
        </w:rPr>
        <w:t>Artículo</w:t>
      </w:r>
      <w:r w:rsidRPr="00A30444">
        <w:rPr>
          <w:rFonts w:ascii="Times New Roman" w:hAnsi="Times New Roman" w:cs="Times New Roman"/>
          <w:b/>
          <w:sz w:val="24"/>
          <w:szCs w:val="24"/>
        </w:rPr>
        <w:t xml:space="preserve"> 185 de la Constitución de la República del Ecuador.</w:t>
      </w:r>
    </w:p>
    <w:p w14:paraId="23B308AA" w14:textId="22216D6B" w:rsidR="00AF712E" w:rsidRPr="00A30444"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 La Constitución de la República del Ecuador</w:t>
      </w:r>
      <w:r w:rsidR="00D217DE">
        <w:rPr>
          <w:rFonts w:ascii="Times New Roman" w:hAnsi="Times New Roman" w:cs="Times New Roman"/>
          <w:sz w:val="24"/>
          <w:szCs w:val="24"/>
        </w:rPr>
        <w:t xml:space="preserve"> (2008),</w:t>
      </w:r>
      <w:r w:rsidRPr="00A30444">
        <w:rPr>
          <w:rFonts w:ascii="Times New Roman" w:hAnsi="Times New Roman" w:cs="Times New Roman"/>
          <w:sz w:val="24"/>
          <w:szCs w:val="24"/>
        </w:rPr>
        <w:t xml:space="preserve"> en el artículo 185, al referirse a la jurisprudencia obligatoria, señala</w:t>
      </w:r>
      <w:r w:rsidR="00D217DE">
        <w:rPr>
          <w:rFonts w:ascii="Times New Roman" w:hAnsi="Times New Roman" w:cs="Times New Roman"/>
          <w:sz w:val="24"/>
          <w:szCs w:val="24"/>
        </w:rPr>
        <w:t xml:space="preserve"> que</w:t>
      </w:r>
      <w:r w:rsidRPr="00A30444">
        <w:rPr>
          <w:rFonts w:ascii="Times New Roman" w:hAnsi="Times New Roman" w:cs="Times New Roman"/>
          <w:sz w:val="24"/>
          <w:szCs w:val="24"/>
        </w:rPr>
        <w:t xml:space="preserve"> las sentencias emitidas por las salas especializadas de la Corte Nacional de Justicia que reiteren por tres ocasiones </w:t>
      </w:r>
      <w:r w:rsidR="00D217DE">
        <w:rPr>
          <w:rFonts w:ascii="Times New Roman" w:hAnsi="Times New Roman" w:cs="Times New Roman"/>
          <w:sz w:val="24"/>
          <w:szCs w:val="24"/>
        </w:rPr>
        <w:t xml:space="preserve">respecto a </w:t>
      </w:r>
      <w:r w:rsidRPr="00A30444">
        <w:rPr>
          <w:rFonts w:ascii="Times New Roman" w:hAnsi="Times New Roman" w:cs="Times New Roman"/>
          <w:sz w:val="24"/>
          <w:szCs w:val="24"/>
        </w:rPr>
        <w:t xml:space="preserve">la misma opinión sobre un mismo punto obligarán a remitir el fallo al Pleno de la Corte Nacional, a fin de que ésta delibere en un plazo de hasta sesenta días sobre su conformidad. La jueza o juez ponente que deba conocer el proceso será designada por sorteo y deberá observar la jurisprudencia obligatoria establecida de manera precedente. Para cambiar el criterio jurisprudencial obligatorio la jueza o juez ponente se basará en razones jurídicas motivadas que justifiquen el cambio, y su fallo deberá ser aprobado de forma unánime por los jueces de sala. </w:t>
      </w:r>
    </w:p>
    <w:p w14:paraId="500FC57A" w14:textId="2E33F088" w:rsidR="00AF712E" w:rsidRPr="00A30444"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El Código Orgánico de la Función Judicial</w:t>
      </w:r>
      <w:r w:rsidR="00D217DE">
        <w:rPr>
          <w:rFonts w:ascii="Times New Roman" w:hAnsi="Times New Roman" w:cs="Times New Roman"/>
          <w:sz w:val="24"/>
          <w:szCs w:val="24"/>
        </w:rPr>
        <w:t xml:space="preserve"> (2009)</w:t>
      </w:r>
      <w:r w:rsidRPr="00A30444">
        <w:rPr>
          <w:rFonts w:ascii="Times New Roman" w:hAnsi="Times New Roman" w:cs="Times New Roman"/>
          <w:sz w:val="24"/>
          <w:szCs w:val="24"/>
        </w:rPr>
        <w:t>, en los artículos 180.2 y 182. 6, establece que al Pleno de la Corte Nacional de Justicia le corresponde desarrollar el sistema de precedentes jurisprudenciales obligatorios, fundamentada en los fallos de triple reiteración, debiendo la resolución contener únicamente el punto de derecho</w:t>
      </w:r>
      <w:r w:rsidR="00D217DE">
        <w:rPr>
          <w:rFonts w:ascii="Times New Roman" w:hAnsi="Times New Roman" w:cs="Times New Roman"/>
          <w:sz w:val="24"/>
          <w:szCs w:val="24"/>
        </w:rPr>
        <w:t xml:space="preserve"> </w:t>
      </w:r>
      <w:r w:rsidRPr="00A30444">
        <w:rPr>
          <w:rFonts w:ascii="Times New Roman" w:hAnsi="Times New Roman" w:cs="Times New Roman"/>
          <w:sz w:val="24"/>
          <w:szCs w:val="24"/>
        </w:rPr>
        <w:t>respecto del cual se ha producido la triple reiteración, el señalamiento de la fecha de los fallos y los datos de identificación del proceso, lo que se publicará en el Registro Oficial a fin de que tenga efecto obligatorio, en tanto la ley no disponga lo contrario</w:t>
      </w:r>
      <w:r w:rsidR="00D217DE">
        <w:rPr>
          <w:rFonts w:ascii="Times New Roman" w:hAnsi="Times New Roman" w:cs="Times New Roman"/>
          <w:sz w:val="24"/>
          <w:szCs w:val="24"/>
        </w:rPr>
        <w:t>.</w:t>
      </w:r>
    </w:p>
    <w:p w14:paraId="0F6F2703" w14:textId="199F65DA" w:rsidR="00AF712E" w:rsidRPr="00A30444"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En este sentido, la Sala Especializada de lo Penal, Penal Militar, Penal Policial y Tránsito de la Corte Nacional de Justicia, emite la </w:t>
      </w:r>
      <w:r w:rsidR="00AD6AF0">
        <w:rPr>
          <w:rFonts w:ascii="Times New Roman" w:hAnsi="Times New Roman" w:cs="Times New Roman"/>
          <w:sz w:val="24"/>
          <w:szCs w:val="24"/>
        </w:rPr>
        <w:t>R</w:t>
      </w:r>
      <w:r w:rsidRPr="00A30444">
        <w:rPr>
          <w:rFonts w:ascii="Times New Roman" w:hAnsi="Times New Roman" w:cs="Times New Roman"/>
          <w:sz w:val="24"/>
          <w:szCs w:val="24"/>
        </w:rPr>
        <w:t>esolución</w:t>
      </w:r>
      <w:r w:rsidR="00AD6AF0">
        <w:rPr>
          <w:rFonts w:ascii="Times New Roman" w:hAnsi="Times New Roman" w:cs="Times New Roman"/>
          <w:sz w:val="24"/>
          <w:szCs w:val="24"/>
        </w:rPr>
        <w:t xml:space="preserve"> No.</w:t>
      </w:r>
      <w:r w:rsidRPr="00A30444">
        <w:rPr>
          <w:rFonts w:ascii="Times New Roman" w:hAnsi="Times New Roman" w:cs="Times New Roman"/>
          <w:sz w:val="24"/>
          <w:szCs w:val="24"/>
        </w:rPr>
        <w:t xml:space="preserve"> 10-2015, basada en autos </w:t>
      </w:r>
      <w:r w:rsidR="00DE774F">
        <w:rPr>
          <w:rFonts w:ascii="Times New Roman" w:hAnsi="Times New Roman" w:cs="Times New Roman"/>
          <w:sz w:val="24"/>
          <w:szCs w:val="24"/>
        </w:rPr>
        <w:t>de inadmisión</w:t>
      </w:r>
      <w:r w:rsidRPr="00A30444">
        <w:rPr>
          <w:rFonts w:ascii="Times New Roman" w:hAnsi="Times New Roman" w:cs="Times New Roman"/>
          <w:sz w:val="24"/>
          <w:szCs w:val="24"/>
        </w:rPr>
        <w:t xml:space="preserve"> que recogen criterios sobre un mismo punto de derecho, en los siguientes juicios: </w:t>
      </w:r>
    </w:p>
    <w:p w14:paraId="28A3E49A" w14:textId="427DA351" w:rsidR="00AF712E" w:rsidRPr="00A30444" w:rsidRDefault="006F492C" w:rsidP="00B21A77">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Resolución No</w:t>
      </w:r>
      <w:r w:rsidR="00AF712E" w:rsidRPr="00A30444">
        <w:rPr>
          <w:rFonts w:ascii="Times New Roman" w:hAnsi="Times New Roman" w:cs="Times New Roman"/>
          <w:sz w:val="24"/>
          <w:szCs w:val="24"/>
        </w:rPr>
        <w:t xml:space="preserve"> 798-2015, en el proceso de tenencia y por</w:t>
      </w:r>
      <w:r>
        <w:rPr>
          <w:rFonts w:ascii="Times New Roman" w:hAnsi="Times New Roman" w:cs="Times New Roman"/>
          <w:sz w:val="24"/>
          <w:szCs w:val="24"/>
        </w:rPr>
        <w:t>te de armas sin autorización, N</w:t>
      </w:r>
      <w:r w:rsidR="00AF712E" w:rsidRPr="00A30444">
        <w:rPr>
          <w:rFonts w:ascii="Times New Roman" w:hAnsi="Times New Roman" w:cs="Times New Roman"/>
          <w:sz w:val="24"/>
          <w:szCs w:val="24"/>
        </w:rPr>
        <w:t xml:space="preserve">o. 197-2015; </w:t>
      </w:r>
    </w:p>
    <w:p w14:paraId="3285A83C" w14:textId="4E7D9345"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Resolución </w:t>
      </w:r>
      <w:r w:rsidR="006F492C">
        <w:rPr>
          <w:rFonts w:ascii="Times New Roman" w:hAnsi="Times New Roman" w:cs="Times New Roman"/>
          <w:sz w:val="24"/>
          <w:szCs w:val="24"/>
        </w:rPr>
        <w:t>No.</w:t>
      </w:r>
      <w:r w:rsidRPr="00A30444">
        <w:rPr>
          <w:rFonts w:ascii="Times New Roman" w:hAnsi="Times New Roman" w:cs="Times New Roman"/>
          <w:sz w:val="24"/>
          <w:szCs w:val="24"/>
        </w:rPr>
        <w:t xml:space="preserve">581-2015, en el proceso </w:t>
      </w:r>
      <w:r w:rsidR="006F492C">
        <w:rPr>
          <w:rFonts w:ascii="Times New Roman" w:hAnsi="Times New Roman" w:cs="Times New Roman"/>
          <w:sz w:val="24"/>
          <w:szCs w:val="24"/>
        </w:rPr>
        <w:t>por abuso sexual, N</w:t>
      </w:r>
      <w:r w:rsidRPr="00A30444">
        <w:rPr>
          <w:rFonts w:ascii="Times New Roman" w:hAnsi="Times New Roman" w:cs="Times New Roman"/>
          <w:sz w:val="24"/>
          <w:szCs w:val="24"/>
        </w:rPr>
        <w:t>o. 531-2015;</w:t>
      </w:r>
    </w:p>
    <w:p w14:paraId="4C93D9CB" w14:textId="1D6DEF97"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Resolución</w:t>
      </w:r>
      <w:r w:rsidR="006F492C">
        <w:rPr>
          <w:rFonts w:ascii="Times New Roman" w:hAnsi="Times New Roman" w:cs="Times New Roman"/>
          <w:sz w:val="24"/>
          <w:szCs w:val="24"/>
        </w:rPr>
        <w:t xml:space="preserve"> No.</w:t>
      </w:r>
      <w:r w:rsidRPr="00A30444">
        <w:rPr>
          <w:rFonts w:ascii="Times New Roman" w:hAnsi="Times New Roman" w:cs="Times New Roman"/>
          <w:sz w:val="24"/>
          <w:szCs w:val="24"/>
        </w:rPr>
        <w:t xml:space="preserve"> 627-2015, </w:t>
      </w:r>
      <w:r w:rsidR="006F492C">
        <w:rPr>
          <w:rFonts w:ascii="Times New Roman" w:hAnsi="Times New Roman" w:cs="Times New Roman"/>
          <w:sz w:val="24"/>
          <w:szCs w:val="24"/>
        </w:rPr>
        <w:t>en el proceso por usurpación, N</w:t>
      </w:r>
      <w:r w:rsidRPr="00A30444">
        <w:rPr>
          <w:rFonts w:ascii="Times New Roman" w:hAnsi="Times New Roman" w:cs="Times New Roman"/>
          <w:sz w:val="24"/>
          <w:szCs w:val="24"/>
        </w:rPr>
        <w:t xml:space="preserve">o. 212-2015; </w:t>
      </w:r>
    </w:p>
    <w:p w14:paraId="5F170BF9" w14:textId="399BB972"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Resolución </w:t>
      </w:r>
      <w:r w:rsidR="006F492C">
        <w:rPr>
          <w:rFonts w:ascii="Times New Roman" w:hAnsi="Times New Roman" w:cs="Times New Roman"/>
          <w:sz w:val="24"/>
          <w:szCs w:val="24"/>
        </w:rPr>
        <w:t xml:space="preserve">No. </w:t>
      </w:r>
      <w:r w:rsidRPr="00A30444">
        <w:rPr>
          <w:rFonts w:ascii="Times New Roman" w:hAnsi="Times New Roman" w:cs="Times New Roman"/>
          <w:sz w:val="24"/>
          <w:szCs w:val="24"/>
        </w:rPr>
        <w:t xml:space="preserve">430-2015, en el proceso por hurto en el grado de tentativa, Nro. 1790-2014; </w:t>
      </w:r>
    </w:p>
    <w:p w14:paraId="12333763" w14:textId="39B81D44"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Resolución </w:t>
      </w:r>
      <w:r w:rsidR="006F492C">
        <w:rPr>
          <w:rFonts w:ascii="Times New Roman" w:hAnsi="Times New Roman" w:cs="Times New Roman"/>
          <w:sz w:val="24"/>
          <w:szCs w:val="24"/>
        </w:rPr>
        <w:t xml:space="preserve">No. </w:t>
      </w:r>
      <w:r w:rsidRPr="00A30444">
        <w:rPr>
          <w:rFonts w:ascii="Times New Roman" w:hAnsi="Times New Roman" w:cs="Times New Roman"/>
          <w:sz w:val="24"/>
          <w:szCs w:val="24"/>
        </w:rPr>
        <w:t>507-2015, en el pr</w:t>
      </w:r>
      <w:r w:rsidR="006F492C">
        <w:rPr>
          <w:rFonts w:ascii="Times New Roman" w:hAnsi="Times New Roman" w:cs="Times New Roman"/>
          <w:sz w:val="24"/>
          <w:szCs w:val="24"/>
        </w:rPr>
        <w:t>oceso por asociación ilícita, N</w:t>
      </w:r>
      <w:r w:rsidRPr="00A30444">
        <w:rPr>
          <w:rFonts w:ascii="Times New Roman" w:hAnsi="Times New Roman" w:cs="Times New Roman"/>
          <w:sz w:val="24"/>
          <w:szCs w:val="24"/>
        </w:rPr>
        <w:t xml:space="preserve">o. 357-2015; </w:t>
      </w:r>
    </w:p>
    <w:p w14:paraId="51E081F8" w14:textId="57EB38E8"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Resolución </w:t>
      </w:r>
      <w:r w:rsidR="006F492C">
        <w:rPr>
          <w:rFonts w:ascii="Times New Roman" w:hAnsi="Times New Roman" w:cs="Times New Roman"/>
          <w:sz w:val="24"/>
          <w:szCs w:val="24"/>
        </w:rPr>
        <w:t xml:space="preserve">No. </w:t>
      </w:r>
      <w:r w:rsidRPr="00A30444">
        <w:rPr>
          <w:rFonts w:ascii="Times New Roman" w:hAnsi="Times New Roman" w:cs="Times New Roman"/>
          <w:sz w:val="24"/>
          <w:szCs w:val="24"/>
        </w:rPr>
        <w:t>475-2015</w:t>
      </w:r>
      <w:r w:rsidR="006F492C">
        <w:rPr>
          <w:rFonts w:ascii="Times New Roman" w:hAnsi="Times New Roman" w:cs="Times New Roman"/>
          <w:sz w:val="24"/>
          <w:szCs w:val="24"/>
        </w:rPr>
        <w:t>, en el proceso por lesiones, N</w:t>
      </w:r>
      <w:r w:rsidRPr="00A30444">
        <w:rPr>
          <w:rFonts w:ascii="Times New Roman" w:hAnsi="Times New Roman" w:cs="Times New Roman"/>
          <w:sz w:val="24"/>
          <w:szCs w:val="24"/>
        </w:rPr>
        <w:t xml:space="preserve">o. 362-2015; </w:t>
      </w:r>
    </w:p>
    <w:p w14:paraId="2CE6D8FE" w14:textId="4945E86D" w:rsidR="00AF712E" w:rsidRPr="00A30444" w:rsidRDefault="00AF712E" w:rsidP="00B21A77">
      <w:pPr>
        <w:pStyle w:val="Prrafodelista"/>
        <w:numPr>
          <w:ilvl w:val="0"/>
          <w:numId w:val="5"/>
        </w:num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Resolución 407-2015, en el p</w:t>
      </w:r>
      <w:r w:rsidR="006F492C">
        <w:rPr>
          <w:rFonts w:ascii="Times New Roman" w:hAnsi="Times New Roman" w:cs="Times New Roman"/>
          <w:sz w:val="24"/>
          <w:szCs w:val="24"/>
        </w:rPr>
        <w:t>roceso por daño a bien ajeno, N</w:t>
      </w:r>
      <w:r w:rsidRPr="00A30444">
        <w:rPr>
          <w:rFonts w:ascii="Times New Roman" w:hAnsi="Times New Roman" w:cs="Times New Roman"/>
          <w:sz w:val="24"/>
          <w:szCs w:val="24"/>
        </w:rPr>
        <w:t>o. 105-2015 (</w:t>
      </w:r>
      <w:r w:rsidR="00DE774F">
        <w:rPr>
          <w:rFonts w:ascii="Times New Roman" w:hAnsi="Times New Roman" w:cs="Times New Roman"/>
          <w:sz w:val="24"/>
          <w:szCs w:val="24"/>
        </w:rPr>
        <w:t xml:space="preserve">Corte Nacional de Justicia, </w:t>
      </w:r>
      <w:r w:rsidRPr="00A30444">
        <w:rPr>
          <w:rFonts w:ascii="Times New Roman" w:hAnsi="Times New Roman" w:cs="Times New Roman"/>
          <w:sz w:val="24"/>
          <w:szCs w:val="24"/>
        </w:rPr>
        <w:t>Resolución</w:t>
      </w:r>
      <w:r w:rsidR="006F492C">
        <w:rPr>
          <w:rFonts w:ascii="Times New Roman" w:hAnsi="Times New Roman" w:cs="Times New Roman"/>
          <w:sz w:val="24"/>
          <w:szCs w:val="24"/>
        </w:rPr>
        <w:t xml:space="preserve"> No.</w:t>
      </w:r>
      <w:r w:rsidRPr="00A30444">
        <w:rPr>
          <w:rFonts w:ascii="Times New Roman" w:hAnsi="Times New Roman" w:cs="Times New Roman"/>
          <w:sz w:val="24"/>
          <w:szCs w:val="24"/>
        </w:rPr>
        <w:t xml:space="preserve"> 10-2015, p.2)</w:t>
      </w:r>
    </w:p>
    <w:p w14:paraId="51CE22C6" w14:textId="5B80A788" w:rsidR="00AF712E" w:rsidRPr="00A30444"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 xml:space="preserve">No </w:t>
      </w:r>
      <w:proofErr w:type="gramStart"/>
      <w:r w:rsidRPr="00A30444">
        <w:rPr>
          <w:rFonts w:ascii="Times New Roman" w:hAnsi="Times New Roman" w:cs="Times New Roman"/>
          <w:sz w:val="24"/>
          <w:szCs w:val="24"/>
        </w:rPr>
        <w:t>obstante</w:t>
      </w:r>
      <w:proofErr w:type="gramEnd"/>
      <w:r w:rsidRPr="00A30444">
        <w:rPr>
          <w:rFonts w:ascii="Times New Roman" w:hAnsi="Times New Roman" w:cs="Times New Roman"/>
          <w:sz w:val="24"/>
          <w:szCs w:val="24"/>
        </w:rPr>
        <w:t xml:space="preserve"> estas resoluciones son únicamente autos interlocutorios, es decir, no son precedentes jurisprudenciales por lo que no cumplen el requisito del inciso 1 del artículo 185 de la Constitución de la República del Ecuador.</w:t>
      </w:r>
    </w:p>
    <w:p w14:paraId="6C18EDB4" w14:textId="41C4A390" w:rsidR="00AF712E" w:rsidRPr="00A30444"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La Corte Nacional de Justicia</w:t>
      </w:r>
      <w:r w:rsidR="00911CDC">
        <w:rPr>
          <w:rFonts w:ascii="Times New Roman" w:hAnsi="Times New Roman" w:cs="Times New Roman"/>
          <w:sz w:val="24"/>
          <w:szCs w:val="24"/>
        </w:rPr>
        <w:t>,</w:t>
      </w:r>
      <w:r w:rsidRPr="00A30444">
        <w:rPr>
          <w:rFonts w:ascii="Times New Roman" w:hAnsi="Times New Roman" w:cs="Times New Roman"/>
          <w:sz w:val="24"/>
          <w:szCs w:val="24"/>
        </w:rPr>
        <w:t xml:space="preserve"> a su criterio consider</w:t>
      </w:r>
      <w:r w:rsidR="00DE774F">
        <w:rPr>
          <w:rFonts w:ascii="Times New Roman" w:hAnsi="Times New Roman" w:cs="Times New Roman"/>
          <w:sz w:val="24"/>
          <w:szCs w:val="24"/>
        </w:rPr>
        <w:t>ó</w:t>
      </w:r>
      <w:r w:rsidRPr="00A30444">
        <w:rPr>
          <w:rFonts w:ascii="Times New Roman" w:hAnsi="Times New Roman" w:cs="Times New Roman"/>
          <w:sz w:val="24"/>
          <w:szCs w:val="24"/>
        </w:rPr>
        <w:t xml:space="preserve"> que existe oscuridad en el artículo 657 del Código Orgánico Integral Penal, respecto del recurso de casación, que permite la admisibilidad o no del recurso, en el evento de que el recurrente cumpla con todas las exigencias de fondo y de forma; pero en el caso de que se incumplan dichos requisitos </w:t>
      </w:r>
      <w:r w:rsidR="00DE774F">
        <w:rPr>
          <w:rFonts w:ascii="Times New Roman" w:hAnsi="Times New Roman" w:cs="Times New Roman"/>
          <w:sz w:val="24"/>
          <w:szCs w:val="24"/>
        </w:rPr>
        <w:t xml:space="preserve">se </w:t>
      </w:r>
      <w:r w:rsidRPr="00A30444">
        <w:rPr>
          <w:rFonts w:ascii="Times New Roman" w:hAnsi="Times New Roman" w:cs="Times New Roman"/>
          <w:sz w:val="24"/>
          <w:szCs w:val="24"/>
        </w:rPr>
        <w:t>deber</w:t>
      </w:r>
      <w:r w:rsidR="00DE774F">
        <w:rPr>
          <w:rFonts w:ascii="Times New Roman" w:hAnsi="Times New Roman" w:cs="Times New Roman"/>
          <w:sz w:val="24"/>
          <w:szCs w:val="24"/>
        </w:rPr>
        <w:t>ía</w:t>
      </w:r>
      <w:r w:rsidRPr="00A30444">
        <w:rPr>
          <w:rFonts w:ascii="Times New Roman" w:hAnsi="Times New Roman" w:cs="Times New Roman"/>
          <w:sz w:val="24"/>
          <w:szCs w:val="24"/>
        </w:rPr>
        <w:t xml:space="preserve"> inadmitir y ordenar su devolución al tribunal de origen.</w:t>
      </w:r>
    </w:p>
    <w:p w14:paraId="7EB49F36" w14:textId="23F8D969" w:rsidR="00AF712E" w:rsidRPr="0043028A" w:rsidRDefault="00AF712E" w:rsidP="00DB77D8">
      <w:pPr>
        <w:spacing w:line="360" w:lineRule="auto"/>
        <w:jc w:val="both"/>
        <w:rPr>
          <w:rFonts w:ascii="Times New Roman" w:hAnsi="Times New Roman" w:cs="Times New Roman"/>
          <w:sz w:val="24"/>
          <w:szCs w:val="24"/>
        </w:rPr>
      </w:pPr>
      <w:r w:rsidRPr="00A30444">
        <w:rPr>
          <w:rFonts w:ascii="Times New Roman" w:hAnsi="Times New Roman" w:cs="Times New Roman"/>
          <w:sz w:val="24"/>
          <w:szCs w:val="24"/>
        </w:rPr>
        <w:t>El artículo 1 de la Resolución</w:t>
      </w:r>
      <w:r w:rsidR="009C6F97">
        <w:rPr>
          <w:rFonts w:ascii="Times New Roman" w:hAnsi="Times New Roman" w:cs="Times New Roman"/>
          <w:sz w:val="24"/>
          <w:szCs w:val="24"/>
        </w:rPr>
        <w:t xml:space="preserve"> No.</w:t>
      </w:r>
      <w:r w:rsidRPr="00A30444">
        <w:rPr>
          <w:rFonts w:ascii="Times New Roman" w:hAnsi="Times New Roman" w:cs="Times New Roman"/>
          <w:sz w:val="24"/>
          <w:szCs w:val="24"/>
        </w:rPr>
        <w:t xml:space="preserve"> 10-2015, aprueba el informe remitido por la Unidad de Procesamiento de Jurisprudencia; y, declara la existencia del precedente jurisprudencial obligatorio, por la triple reiteración de fallos sobre un mismo punto de derecho, a fin de resolver la obscuridad del artículo 657.2 del Código Orgánico Integral Penal, en el sentido </w:t>
      </w:r>
      <w:r w:rsidR="00DD4A5A">
        <w:rPr>
          <w:rFonts w:ascii="Times New Roman" w:hAnsi="Times New Roman" w:cs="Times New Roman"/>
          <w:sz w:val="24"/>
          <w:szCs w:val="24"/>
        </w:rPr>
        <w:t xml:space="preserve">de que </w:t>
      </w:r>
      <w:r w:rsidRPr="00A30444">
        <w:rPr>
          <w:rFonts w:ascii="Times New Roman" w:hAnsi="Times New Roman" w:cs="Times New Roman"/>
          <w:sz w:val="24"/>
          <w:szCs w:val="24"/>
        </w:rPr>
        <w:t>recibido el recurso de casación en la Corte Nacional de Justicia, corresponde al tribunal designado por sorteo, determinar si el escrito de interposición cumple con los requisitos de</w:t>
      </w:r>
      <w:r w:rsidRPr="0043028A">
        <w:rPr>
          <w:rFonts w:ascii="Times New Roman" w:hAnsi="Times New Roman" w:cs="Times New Roman"/>
          <w:sz w:val="24"/>
          <w:szCs w:val="24"/>
        </w:rPr>
        <w:t xml:space="preserve"> admisibilidad, conforme lo establecido en el Código Orgánico Integral Penal, artículo 657.2, en caso de cumplirlos se convocará a audiencia, caso contrario, declarada la inadmisibilidad se devolverá el expediente al tribunal de origen, de esta declaratoria no habrá recurso alguno. (</w:t>
      </w:r>
      <w:r w:rsidR="00DE774F">
        <w:rPr>
          <w:rFonts w:ascii="Times New Roman" w:hAnsi="Times New Roman" w:cs="Times New Roman"/>
          <w:sz w:val="24"/>
          <w:szCs w:val="24"/>
        </w:rPr>
        <w:t xml:space="preserve">Corte Nacional de Justicia, </w:t>
      </w:r>
      <w:r w:rsidRPr="0043028A">
        <w:rPr>
          <w:rFonts w:ascii="Times New Roman" w:hAnsi="Times New Roman" w:cs="Times New Roman"/>
          <w:sz w:val="24"/>
          <w:szCs w:val="24"/>
        </w:rPr>
        <w:t>Resolución</w:t>
      </w:r>
      <w:r w:rsidR="00DD4A5A">
        <w:rPr>
          <w:rFonts w:ascii="Times New Roman" w:hAnsi="Times New Roman" w:cs="Times New Roman"/>
          <w:sz w:val="24"/>
          <w:szCs w:val="24"/>
        </w:rPr>
        <w:t xml:space="preserve"> No.</w:t>
      </w:r>
      <w:r w:rsidRPr="0043028A">
        <w:rPr>
          <w:rFonts w:ascii="Times New Roman" w:hAnsi="Times New Roman" w:cs="Times New Roman"/>
          <w:sz w:val="24"/>
          <w:szCs w:val="24"/>
        </w:rPr>
        <w:t xml:space="preserve"> 10-2015, p.2)</w:t>
      </w:r>
    </w:p>
    <w:p w14:paraId="06A7BC51" w14:textId="4497C848" w:rsidR="00AF712E" w:rsidRPr="0043028A" w:rsidRDefault="00AF712E" w:rsidP="00DB77D8">
      <w:pPr>
        <w:spacing w:line="360" w:lineRule="auto"/>
        <w:jc w:val="both"/>
        <w:rPr>
          <w:rFonts w:ascii="Times New Roman" w:hAnsi="Times New Roman" w:cs="Times New Roman"/>
          <w:sz w:val="24"/>
          <w:szCs w:val="24"/>
        </w:rPr>
      </w:pPr>
      <w:r w:rsidRPr="0043028A">
        <w:rPr>
          <w:rFonts w:ascii="Times New Roman" w:hAnsi="Times New Roman" w:cs="Times New Roman"/>
          <w:sz w:val="24"/>
          <w:szCs w:val="24"/>
        </w:rPr>
        <w:t>La Constitución de la República del Ecuador, en el artículo 120.6, establece que entre las atribucione</w:t>
      </w:r>
      <w:r w:rsidR="00360C0A">
        <w:rPr>
          <w:rFonts w:ascii="Times New Roman" w:hAnsi="Times New Roman" w:cs="Times New Roman"/>
          <w:sz w:val="24"/>
          <w:szCs w:val="24"/>
        </w:rPr>
        <w:t>s de la Función Legislativa es: “</w:t>
      </w:r>
      <w:r w:rsidR="00360C0A" w:rsidRPr="0043028A">
        <w:rPr>
          <w:rFonts w:ascii="Times New Roman" w:hAnsi="Times New Roman" w:cs="Times New Roman"/>
          <w:sz w:val="24"/>
          <w:szCs w:val="24"/>
        </w:rPr>
        <w:t>Expedir</w:t>
      </w:r>
      <w:r w:rsidRPr="0043028A">
        <w:rPr>
          <w:rFonts w:ascii="Times New Roman" w:hAnsi="Times New Roman" w:cs="Times New Roman"/>
          <w:sz w:val="24"/>
          <w:szCs w:val="24"/>
        </w:rPr>
        <w:t>, codificar, reformar y derogar las leyes, e interpretarlas de forma obligatoria”, en este sentido solo el asambleísta puede reformar las leyes ecuatorianas, previo el procedimiento establecido para el efecto</w:t>
      </w:r>
      <w:r w:rsidR="00360C0A">
        <w:rPr>
          <w:rFonts w:ascii="Times New Roman" w:hAnsi="Times New Roman" w:cs="Times New Roman"/>
          <w:sz w:val="24"/>
          <w:szCs w:val="24"/>
        </w:rPr>
        <w:t>”</w:t>
      </w:r>
      <w:r w:rsidRPr="0043028A">
        <w:rPr>
          <w:rFonts w:ascii="Times New Roman" w:hAnsi="Times New Roman" w:cs="Times New Roman"/>
          <w:sz w:val="24"/>
          <w:szCs w:val="24"/>
        </w:rPr>
        <w:t>. (</w:t>
      </w:r>
      <w:r w:rsidR="00E765E5">
        <w:rPr>
          <w:rFonts w:ascii="Times New Roman" w:hAnsi="Times New Roman" w:cs="Times New Roman"/>
          <w:sz w:val="24"/>
          <w:szCs w:val="24"/>
        </w:rPr>
        <w:t xml:space="preserve">Constitución de la República del Ecuador, </w:t>
      </w:r>
      <w:r w:rsidRPr="0043028A">
        <w:rPr>
          <w:rFonts w:ascii="Times New Roman" w:hAnsi="Times New Roman" w:cs="Times New Roman"/>
          <w:sz w:val="24"/>
          <w:szCs w:val="24"/>
        </w:rPr>
        <w:t>2008, p, 54)</w:t>
      </w:r>
    </w:p>
    <w:p w14:paraId="36AB1082" w14:textId="71A80018" w:rsidR="004050E6" w:rsidRPr="0043028A" w:rsidRDefault="00E765E5"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En síntesis,</w:t>
      </w:r>
      <w:r w:rsidRPr="0043028A">
        <w:rPr>
          <w:rFonts w:ascii="Times New Roman" w:hAnsi="Times New Roman" w:cs="Times New Roman"/>
          <w:sz w:val="24"/>
          <w:szCs w:val="24"/>
        </w:rPr>
        <w:t xml:space="preserve"> </w:t>
      </w:r>
      <w:r w:rsidR="00AF712E" w:rsidRPr="0043028A">
        <w:rPr>
          <w:rFonts w:ascii="Times New Roman" w:hAnsi="Times New Roman" w:cs="Times New Roman"/>
          <w:sz w:val="24"/>
          <w:szCs w:val="24"/>
        </w:rPr>
        <w:t>si la Corte Nacional de Justicia consideraba que el contenido de los artículos 656 y 657 del Código Orgánico Integral Penal eran oscuros, su deber</w:t>
      </w:r>
      <w:r>
        <w:rPr>
          <w:rFonts w:ascii="Times New Roman" w:hAnsi="Times New Roman" w:cs="Times New Roman"/>
          <w:sz w:val="24"/>
          <w:szCs w:val="24"/>
        </w:rPr>
        <w:t xml:space="preserve"> era</w:t>
      </w:r>
      <w:r w:rsidR="00AF712E" w:rsidRPr="0043028A">
        <w:rPr>
          <w:rFonts w:ascii="Times New Roman" w:hAnsi="Times New Roman" w:cs="Times New Roman"/>
          <w:sz w:val="24"/>
          <w:szCs w:val="24"/>
        </w:rPr>
        <w:t xml:space="preserve"> enviar el proyecto de reforma de estas disposiciones legales, </w:t>
      </w:r>
      <w:r>
        <w:rPr>
          <w:rFonts w:ascii="Times New Roman" w:hAnsi="Times New Roman" w:cs="Times New Roman"/>
          <w:sz w:val="24"/>
          <w:szCs w:val="24"/>
        </w:rPr>
        <w:t>y</w:t>
      </w:r>
      <w:r w:rsidRPr="0043028A">
        <w:rPr>
          <w:rFonts w:ascii="Times New Roman" w:hAnsi="Times New Roman" w:cs="Times New Roman"/>
          <w:sz w:val="24"/>
          <w:szCs w:val="24"/>
        </w:rPr>
        <w:t xml:space="preserve"> </w:t>
      </w:r>
      <w:r w:rsidR="00AF712E" w:rsidRPr="0043028A">
        <w:rPr>
          <w:rFonts w:ascii="Times New Roman" w:hAnsi="Times New Roman" w:cs="Times New Roman"/>
          <w:sz w:val="24"/>
          <w:szCs w:val="24"/>
        </w:rPr>
        <w:t xml:space="preserve">no de forma arbitraria expedir una resolución que </w:t>
      </w:r>
      <w:r>
        <w:rPr>
          <w:rFonts w:ascii="Times New Roman" w:hAnsi="Times New Roman" w:cs="Times New Roman"/>
          <w:sz w:val="24"/>
          <w:szCs w:val="24"/>
        </w:rPr>
        <w:t>restringió</w:t>
      </w:r>
      <w:r w:rsidR="00AF712E" w:rsidRPr="0043028A">
        <w:rPr>
          <w:rFonts w:ascii="Times New Roman" w:hAnsi="Times New Roman" w:cs="Times New Roman"/>
          <w:sz w:val="24"/>
          <w:szCs w:val="24"/>
        </w:rPr>
        <w:t xml:space="preserve"> derechos de rango constitucional y  convencional, </w:t>
      </w:r>
      <w:r w:rsidR="003276DE">
        <w:rPr>
          <w:rFonts w:ascii="Times New Roman" w:hAnsi="Times New Roman" w:cs="Times New Roman"/>
          <w:sz w:val="24"/>
          <w:szCs w:val="24"/>
        </w:rPr>
        <w:t>vulnerando el derecho a la defensa de los recurrentes, d</w:t>
      </w:r>
      <w:r w:rsidR="00AF712E" w:rsidRPr="0043028A">
        <w:rPr>
          <w:rFonts w:ascii="Times New Roman" w:hAnsi="Times New Roman" w:cs="Times New Roman"/>
          <w:sz w:val="24"/>
          <w:szCs w:val="24"/>
        </w:rPr>
        <w:t>e ahí que</w:t>
      </w:r>
      <w:r>
        <w:rPr>
          <w:rFonts w:ascii="Times New Roman" w:hAnsi="Times New Roman" w:cs="Times New Roman"/>
          <w:sz w:val="24"/>
          <w:szCs w:val="24"/>
        </w:rPr>
        <w:t xml:space="preserve">, resulta </w:t>
      </w:r>
      <w:r w:rsidR="00AF712E" w:rsidRPr="0043028A">
        <w:rPr>
          <w:rFonts w:ascii="Times New Roman" w:hAnsi="Times New Roman" w:cs="Times New Roman"/>
          <w:sz w:val="24"/>
          <w:szCs w:val="24"/>
        </w:rPr>
        <w:t>acertada la declaratoria de inconstitucionalidad de</w:t>
      </w:r>
      <w:r>
        <w:rPr>
          <w:rFonts w:ascii="Times New Roman" w:hAnsi="Times New Roman" w:cs="Times New Roman"/>
          <w:sz w:val="24"/>
          <w:szCs w:val="24"/>
        </w:rPr>
        <w:t xml:space="preserve"> forma</w:t>
      </w:r>
      <w:r w:rsidR="00AF712E" w:rsidRPr="0043028A">
        <w:rPr>
          <w:rFonts w:ascii="Times New Roman" w:hAnsi="Times New Roman" w:cs="Times New Roman"/>
          <w:sz w:val="24"/>
          <w:szCs w:val="24"/>
        </w:rPr>
        <w:t xml:space="preserve"> </w:t>
      </w:r>
      <w:r>
        <w:rPr>
          <w:rFonts w:ascii="Times New Roman" w:hAnsi="Times New Roman" w:cs="Times New Roman"/>
          <w:sz w:val="24"/>
          <w:szCs w:val="24"/>
        </w:rPr>
        <w:t xml:space="preserve">de </w:t>
      </w:r>
      <w:r w:rsidR="00AF712E" w:rsidRPr="0043028A">
        <w:rPr>
          <w:rFonts w:ascii="Times New Roman" w:hAnsi="Times New Roman" w:cs="Times New Roman"/>
          <w:sz w:val="24"/>
          <w:szCs w:val="24"/>
        </w:rPr>
        <w:t>dicha resolución por la Corte Constitucional</w:t>
      </w:r>
      <w:r>
        <w:rPr>
          <w:rFonts w:ascii="Times New Roman" w:hAnsi="Times New Roman" w:cs="Times New Roman"/>
          <w:sz w:val="24"/>
          <w:szCs w:val="24"/>
        </w:rPr>
        <w:t>, mediante</w:t>
      </w:r>
      <w:r w:rsidRPr="0043028A">
        <w:rPr>
          <w:rFonts w:ascii="Times New Roman" w:hAnsi="Times New Roman" w:cs="Times New Roman"/>
          <w:sz w:val="24"/>
          <w:szCs w:val="24"/>
        </w:rPr>
        <w:t xml:space="preserve"> </w:t>
      </w:r>
      <w:r w:rsidR="00AF712E" w:rsidRPr="0043028A">
        <w:rPr>
          <w:rFonts w:ascii="Times New Roman" w:hAnsi="Times New Roman" w:cs="Times New Roman"/>
          <w:sz w:val="24"/>
          <w:szCs w:val="24"/>
        </w:rPr>
        <w:t xml:space="preserve">la sentencia </w:t>
      </w:r>
      <w:r w:rsidR="008A0C84">
        <w:rPr>
          <w:rFonts w:ascii="Times New Roman" w:hAnsi="Times New Roman" w:cs="Times New Roman"/>
          <w:sz w:val="24"/>
          <w:szCs w:val="24"/>
        </w:rPr>
        <w:t>No.</w:t>
      </w:r>
      <w:r w:rsidR="00AF712E" w:rsidRPr="0043028A">
        <w:rPr>
          <w:rFonts w:ascii="Times New Roman" w:hAnsi="Times New Roman" w:cs="Times New Roman"/>
          <w:sz w:val="24"/>
          <w:szCs w:val="24"/>
        </w:rPr>
        <w:t>8-19/IN2021.</w:t>
      </w:r>
    </w:p>
    <w:p w14:paraId="274E133A" w14:textId="456DAF4A" w:rsidR="001707E6" w:rsidRDefault="005E3BC9" w:rsidP="00B21A77">
      <w:pPr>
        <w:spacing w:line="360" w:lineRule="auto"/>
        <w:jc w:val="center"/>
        <w:rPr>
          <w:rFonts w:ascii="Times New Roman" w:eastAsia="Times New Roman" w:hAnsi="Times New Roman" w:cs="Times New Roman"/>
          <w:b/>
          <w:bCs/>
          <w:sz w:val="28"/>
          <w:szCs w:val="28"/>
          <w:lang w:eastAsia="es-EC"/>
        </w:rPr>
      </w:pPr>
      <w:r>
        <w:rPr>
          <w:rFonts w:ascii="Times New Roman" w:eastAsia="Times New Roman" w:hAnsi="Times New Roman" w:cs="Times New Roman"/>
          <w:b/>
          <w:bCs/>
          <w:sz w:val="28"/>
          <w:szCs w:val="28"/>
          <w:lang w:eastAsia="es-EC"/>
        </w:rPr>
        <w:t>D</w:t>
      </w:r>
      <w:r w:rsidRPr="005E3BC9">
        <w:rPr>
          <w:rFonts w:ascii="Times New Roman" w:eastAsia="Times New Roman" w:hAnsi="Times New Roman" w:cs="Times New Roman"/>
          <w:b/>
          <w:bCs/>
          <w:sz w:val="28"/>
          <w:szCs w:val="28"/>
          <w:lang w:eastAsia="es-EC"/>
        </w:rPr>
        <w:t>iscusión</w:t>
      </w:r>
    </w:p>
    <w:p w14:paraId="7952BF9E" w14:textId="5F7F851D" w:rsidR="00360C0A" w:rsidRDefault="00360C0A" w:rsidP="00DB77D8">
      <w:pPr>
        <w:spacing w:line="360" w:lineRule="auto"/>
        <w:jc w:val="both"/>
        <w:rPr>
          <w:rFonts w:ascii="Times New Roman" w:hAnsi="Times New Roman" w:cs="Times New Roman"/>
          <w:sz w:val="24"/>
          <w:szCs w:val="24"/>
        </w:rPr>
      </w:pPr>
      <w:r w:rsidRPr="009B5809">
        <w:rPr>
          <w:rFonts w:ascii="Times New Roman" w:hAnsi="Times New Roman" w:cs="Times New Roman"/>
          <w:sz w:val="24"/>
          <w:szCs w:val="24"/>
        </w:rPr>
        <w:t xml:space="preserve">Del análisis realizado se concluye que la Resolución No. 10-2015, emitida por la Corte Nacional de Justicia en relación con la fase de admisibilidad del recurso de casación penal, produjo una afectación directa a los derechos de los justiciables, particularmente al debido proceso y </w:t>
      </w:r>
      <w:r>
        <w:rPr>
          <w:rFonts w:ascii="Times New Roman" w:hAnsi="Times New Roman" w:cs="Times New Roman"/>
          <w:sz w:val="24"/>
          <w:szCs w:val="24"/>
        </w:rPr>
        <w:t>el derecho a la defensa en su garantía de</w:t>
      </w:r>
      <w:r w:rsidRPr="009B5809">
        <w:rPr>
          <w:rFonts w:ascii="Times New Roman" w:hAnsi="Times New Roman" w:cs="Times New Roman"/>
          <w:sz w:val="24"/>
          <w:szCs w:val="24"/>
        </w:rPr>
        <w:t xml:space="preserve"> recurrir. Como consecuencia de esta limitación injustificada, muchos ciudadanos se vieron obligados a </w:t>
      </w:r>
      <w:r>
        <w:rPr>
          <w:rFonts w:ascii="Times New Roman" w:hAnsi="Times New Roman" w:cs="Times New Roman"/>
          <w:sz w:val="24"/>
          <w:szCs w:val="24"/>
        </w:rPr>
        <w:t>interponer</w:t>
      </w:r>
      <w:r w:rsidRPr="009B5809">
        <w:rPr>
          <w:rFonts w:ascii="Times New Roman" w:hAnsi="Times New Roman" w:cs="Times New Roman"/>
          <w:sz w:val="24"/>
          <w:szCs w:val="24"/>
        </w:rPr>
        <w:t xml:space="preserve"> </w:t>
      </w:r>
      <w:r>
        <w:rPr>
          <w:rFonts w:ascii="Times New Roman" w:hAnsi="Times New Roman" w:cs="Times New Roman"/>
          <w:sz w:val="24"/>
          <w:szCs w:val="24"/>
        </w:rPr>
        <w:t xml:space="preserve">acciones </w:t>
      </w:r>
      <w:r w:rsidRPr="009B5809">
        <w:rPr>
          <w:rFonts w:ascii="Times New Roman" w:hAnsi="Times New Roman" w:cs="Times New Roman"/>
          <w:sz w:val="24"/>
          <w:szCs w:val="24"/>
        </w:rPr>
        <w:t>extraordinaria</w:t>
      </w:r>
      <w:r>
        <w:rPr>
          <w:rFonts w:ascii="Times New Roman" w:hAnsi="Times New Roman" w:cs="Times New Roman"/>
          <w:sz w:val="24"/>
          <w:szCs w:val="24"/>
        </w:rPr>
        <w:t>s</w:t>
      </w:r>
      <w:r w:rsidRPr="009B5809">
        <w:rPr>
          <w:rFonts w:ascii="Times New Roman" w:hAnsi="Times New Roman" w:cs="Times New Roman"/>
          <w:sz w:val="24"/>
          <w:szCs w:val="24"/>
        </w:rPr>
        <w:t xml:space="preserve"> de protección ante la Corte Constitucional como único mecanismo para restablecer sus derechos y acceder a una justicia efectiva. Sin embargo, est</w:t>
      </w:r>
      <w:r>
        <w:rPr>
          <w:rFonts w:ascii="Times New Roman" w:hAnsi="Times New Roman" w:cs="Times New Roman"/>
          <w:sz w:val="24"/>
          <w:szCs w:val="24"/>
        </w:rPr>
        <w:t>a</w:t>
      </w:r>
      <w:r w:rsidRPr="009B5809">
        <w:rPr>
          <w:rFonts w:ascii="Times New Roman" w:hAnsi="Times New Roman" w:cs="Times New Roman"/>
          <w:sz w:val="24"/>
          <w:szCs w:val="24"/>
        </w:rPr>
        <w:t xml:space="preserve"> </w:t>
      </w:r>
      <w:r>
        <w:rPr>
          <w:rFonts w:ascii="Times New Roman" w:hAnsi="Times New Roman" w:cs="Times New Roman"/>
          <w:sz w:val="24"/>
          <w:szCs w:val="24"/>
        </w:rPr>
        <w:t>acción</w:t>
      </w:r>
      <w:r w:rsidRPr="009B5809">
        <w:rPr>
          <w:rFonts w:ascii="Times New Roman" w:hAnsi="Times New Roman" w:cs="Times New Roman"/>
          <w:sz w:val="24"/>
          <w:szCs w:val="24"/>
        </w:rPr>
        <w:t xml:space="preserve">, </w:t>
      </w:r>
      <w:r w:rsidR="00393563">
        <w:rPr>
          <w:rFonts w:ascii="Times New Roman" w:hAnsi="Times New Roman" w:cs="Times New Roman"/>
          <w:sz w:val="24"/>
          <w:szCs w:val="24"/>
        </w:rPr>
        <w:t>aunque se constituye como</w:t>
      </w:r>
      <w:r w:rsidRPr="009B5809">
        <w:rPr>
          <w:rFonts w:ascii="Times New Roman" w:hAnsi="Times New Roman" w:cs="Times New Roman"/>
          <w:sz w:val="24"/>
          <w:szCs w:val="24"/>
        </w:rPr>
        <w:t xml:space="preserve"> fundamental en el sistema de garantías constitucionales, no constituye una vía expedita, ya que su tramitación suele prolongarse durante años debido a la alta carga procesal que enfrenta dicho órgano. Este retraso ha implicado para los justiciables una espera prolongada e injustificada, durante la cual sus procesos quedaron en suspenso, sin acceso a una revisión de fondo ni a una resolución definitiva, dilatando así el derecho a obtener una sentencia justa y oportuna</w:t>
      </w:r>
      <w:r>
        <w:rPr>
          <w:rFonts w:ascii="Times New Roman" w:hAnsi="Times New Roman" w:cs="Times New Roman"/>
          <w:sz w:val="24"/>
          <w:szCs w:val="24"/>
        </w:rPr>
        <w:t>.</w:t>
      </w:r>
    </w:p>
    <w:p w14:paraId="2B9D0EEA" w14:textId="2F3CE5F1" w:rsidR="00C02F38" w:rsidRDefault="00C02F38"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Si bien la Corte Constitucional en la sentencia</w:t>
      </w:r>
      <w:r w:rsidR="00360C0A">
        <w:rPr>
          <w:rFonts w:ascii="Times New Roman" w:hAnsi="Times New Roman" w:cs="Times New Roman"/>
          <w:sz w:val="24"/>
          <w:szCs w:val="24"/>
        </w:rPr>
        <w:t xml:space="preserve"> No.</w:t>
      </w:r>
      <w:r>
        <w:rPr>
          <w:rFonts w:ascii="Times New Roman" w:hAnsi="Times New Roman" w:cs="Times New Roman"/>
          <w:sz w:val="24"/>
          <w:szCs w:val="24"/>
        </w:rPr>
        <w:t>8-19IN/21, declara inconstitucional la Resolución</w:t>
      </w:r>
      <w:r w:rsidR="00360C0A">
        <w:rPr>
          <w:rFonts w:ascii="Times New Roman" w:hAnsi="Times New Roman" w:cs="Times New Roman"/>
          <w:sz w:val="24"/>
          <w:szCs w:val="24"/>
        </w:rPr>
        <w:t xml:space="preserve"> No.</w:t>
      </w:r>
      <w:r>
        <w:rPr>
          <w:rFonts w:ascii="Times New Roman" w:hAnsi="Times New Roman" w:cs="Times New Roman"/>
          <w:sz w:val="24"/>
          <w:szCs w:val="24"/>
        </w:rPr>
        <w:t xml:space="preserve"> 10-2015, </w:t>
      </w:r>
      <w:r w:rsidR="00105527">
        <w:rPr>
          <w:rFonts w:ascii="Times New Roman" w:hAnsi="Times New Roman" w:cs="Times New Roman"/>
          <w:sz w:val="24"/>
          <w:szCs w:val="24"/>
        </w:rPr>
        <w:t xml:space="preserve">dado a que se emitió </w:t>
      </w:r>
      <w:r w:rsidR="00E10BD5">
        <w:rPr>
          <w:rFonts w:ascii="Times New Roman" w:hAnsi="Times New Roman" w:cs="Times New Roman"/>
          <w:sz w:val="24"/>
          <w:szCs w:val="24"/>
        </w:rPr>
        <w:t>con</w:t>
      </w:r>
      <w:r w:rsidR="00105527">
        <w:rPr>
          <w:rFonts w:ascii="Times New Roman" w:hAnsi="Times New Roman" w:cs="Times New Roman"/>
          <w:sz w:val="24"/>
          <w:szCs w:val="24"/>
        </w:rPr>
        <w:t xml:space="preserve"> base a autos interlocutorios, analizando yerros únicamente desde el punto </w:t>
      </w:r>
      <w:r w:rsidR="00E10BD5">
        <w:rPr>
          <w:rFonts w:ascii="Times New Roman" w:hAnsi="Times New Roman" w:cs="Times New Roman"/>
          <w:sz w:val="24"/>
          <w:szCs w:val="24"/>
        </w:rPr>
        <w:t>de vista formal</w:t>
      </w:r>
      <w:r w:rsidR="00105527">
        <w:rPr>
          <w:rFonts w:ascii="Times New Roman" w:hAnsi="Times New Roman" w:cs="Times New Roman"/>
          <w:sz w:val="24"/>
          <w:szCs w:val="24"/>
        </w:rPr>
        <w:t xml:space="preserve">, </w:t>
      </w:r>
      <w:r w:rsidR="00393563">
        <w:rPr>
          <w:rFonts w:ascii="Times New Roman" w:hAnsi="Times New Roman" w:cs="Times New Roman"/>
          <w:sz w:val="24"/>
          <w:szCs w:val="24"/>
        </w:rPr>
        <w:t>el máximo órgano de justicia constitucional</w:t>
      </w:r>
      <w:r w:rsidR="00FF429D">
        <w:rPr>
          <w:rFonts w:ascii="Times New Roman" w:hAnsi="Times New Roman" w:cs="Times New Roman"/>
          <w:sz w:val="24"/>
          <w:szCs w:val="24"/>
        </w:rPr>
        <w:t xml:space="preserve"> no analizó que la</w:t>
      </w:r>
      <w:r w:rsidR="00FF429D" w:rsidRPr="00EF2912">
        <w:rPr>
          <w:rFonts w:ascii="Times New Roman" w:hAnsi="Times New Roman" w:cs="Times New Roman"/>
          <w:sz w:val="24"/>
          <w:szCs w:val="24"/>
        </w:rPr>
        <w:t xml:space="preserve"> Corte Nacional de Justicia </w:t>
      </w:r>
      <w:r w:rsidR="00FF429D">
        <w:rPr>
          <w:rFonts w:ascii="Times New Roman" w:hAnsi="Times New Roman" w:cs="Times New Roman"/>
          <w:sz w:val="24"/>
          <w:szCs w:val="24"/>
        </w:rPr>
        <w:t>estableció</w:t>
      </w:r>
      <w:r w:rsidR="00FF429D" w:rsidRPr="00EF2912">
        <w:rPr>
          <w:rFonts w:ascii="Times New Roman" w:hAnsi="Times New Roman" w:cs="Times New Roman"/>
          <w:sz w:val="24"/>
          <w:szCs w:val="24"/>
        </w:rPr>
        <w:t xml:space="preserve"> una fase de admisibilidad no</w:t>
      </w:r>
      <w:r w:rsidR="00FF429D">
        <w:rPr>
          <w:rFonts w:ascii="Times New Roman" w:hAnsi="Times New Roman" w:cs="Times New Roman"/>
          <w:sz w:val="24"/>
          <w:szCs w:val="24"/>
        </w:rPr>
        <w:t xml:space="preserve"> </w:t>
      </w:r>
      <w:r w:rsidR="00FF429D" w:rsidRPr="00EF2912">
        <w:rPr>
          <w:rFonts w:ascii="Times New Roman" w:hAnsi="Times New Roman" w:cs="Times New Roman"/>
          <w:sz w:val="24"/>
          <w:szCs w:val="24"/>
        </w:rPr>
        <w:t>contemplada en el COIP</w:t>
      </w:r>
      <w:r w:rsidR="00FF429D">
        <w:rPr>
          <w:rFonts w:ascii="Times New Roman" w:hAnsi="Times New Roman" w:cs="Times New Roman"/>
          <w:sz w:val="24"/>
          <w:szCs w:val="24"/>
        </w:rPr>
        <w:t xml:space="preserve">, realizando una </w:t>
      </w:r>
      <w:r w:rsidR="00FF429D" w:rsidRPr="00EF2912">
        <w:rPr>
          <w:rFonts w:ascii="Times New Roman" w:hAnsi="Times New Roman" w:cs="Times New Roman"/>
          <w:sz w:val="24"/>
          <w:szCs w:val="24"/>
        </w:rPr>
        <w:t xml:space="preserve">interpretación extensiva </w:t>
      </w:r>
      <w:r w:rsidR="00FF429D">
        <w:rPr>
          <w:rFonts w:ascii="Times New Roman" w:hAnsi="Times New Roman" w:cs="Times New Roman"/>
          <w:sz w:val="24"/>
          <w:szCs w:val="24"/>
        </w:rPr>
        <w:t>de dicho cuerpo legal</w:t>
      </w:r>
      <w:r w:rsidR="00FF429D" w:rsidRPr="00EF2912">
        <w:rPr>
          <w:rFonts w:ascii="Times New Roman" w:hAnsi="Times New Roman" w:cs="Times New Roman"/>
          <w:sz w:val="24"/>
          <w:szCs w:val="24"/>
        </w:rPr>
        <w:t>,</w:t>
      </w:r>
      <w:r w:rsidR="00FF429D">
        <w:rPr>
          <w:rFonts w:ascii="Times New Roman" w:hAnsi="Times New Roman" w:cs="Times New Roman"/>
          <w:sz w:val="24"/>
          <w:szCs w:val="24"/>
        </w:rPr>
        <w:t xml:space="preserve"> </w:t>
      </w:r>
      <w:r w:rsidR="00FF429D" w:rsidRPr="00EF2912">
        <w:rPr>
          <w:rFonts w:ascii="Times New Roman" w:hAnsi="Times New Roman" w:cs="Times New Roman"/>
          <w:sz w:val="24"/>
          <w:szCs w:val="24"/>
        </w:rPr>
        <w:t xml:space="preserve">lo cual atenta al principio de legalidad </w:t>
      </w:r>
      <w:r w:rsidR="00393563">
        <w:rPr>
          <w:rFonts w:ascii="Times New Roman" w:hAnsi="Times New Roman" w:cs="Times New Roman"/>
          <w:sz w:val="24"/>
          <w:szCs w:val="24"/>
        </w:rPr>
        <w:t>y seguridad jurídica</w:t>
      </w:r>
      <w:r w:rsidR="00FF429D" w:rsidRPr="00EF2912">
        <w:rPr>
          <w:rFonts w:ascii="Times New Roman" w:hAnsi="Times New Roman" w:cs="Times New Roman"/>
          <w:sz w:val="24"/>
          <w:szCs w:val="24"/>
        </w:rPr>
        <w:t>. Así, esta resolución constituye</w:t>
      </w:r>
      <w:r w:rsidR="00FF429D">
        <w:rPr>
          <w:rFonts w:ascii="Times New Roman" w:hAnsi="Times New Roman" w:cs="Times New Roman"/>
          <w:sz w:val="24"/>
          <w:szCs w:val="24"/>
        </w:rPr>
        <w:t xml:space="preserve"> </w:t>
      </w:r>
      <w:r w:rsidR="00FF429D" w:rsidRPr="00EF2912">
        <w:rPr>
          <w:rFonts w:ascii="Times New Roman" w:hAnsi="Times New Roman" w:cs="Times New Roman"/>
          <w:sz w:val="24"/>
          <w:szCs w:val="24"/>
        </w:rPr>
        <w:t>una restricción al acceso al recurso de casación</w:t>
      </w:r>
      <w:r w:rsidR="00FF429D">
        <w:rPr>
          <w:rFonts w:ascii="Times New Roman" w:hAnsi="Times New Roman" w:cs="Times New Roman"/>
          <w:sz w:val="24"/>
          <w:szCs w:val="24"/>
        </w:rPr>
        <w:t xml:space="preserve"> penal por</w:t>
      </w:r>
      <w:r w:rsidR="00FF429D" w:rsidRPr="00EF2912">
        <w:rPr>
          <w:rFonts w:ascii="Times New Roman" w:hAnsi="Times New Roman" w:cs="Times New Roman"/>
          <w:sz w:val="24"/>
          <w:szCs w:val="24"/>
        </w:rPr>
        <w:t xml:space="preserve"> no </w:t>
      </w:r>
      <w:r w:rsidR="00FF429D">
        <w:rPr>
          <w:rFonts w:ascii="Times New Roman" w:hAnsi="Times New Roman" w:cs="Times New Roman"/>
          <w:sz w:val="24"/>
          <w:szCs w:val="24"/>
        </w:rPr>
        <w:t xml:space="preserve">encontrarse </w:t>
      </w:r>
      <w:r w:rsidR="00FF429D" w:rsidRPr="00EF2912">
        <w:rPr>
          <w:rFonts w:ascii="Times New Roman" w:hAnsi="Times New Roman" w:cs="Times New Roman"/>
          <w:sz w:val="24"/>
          <w:szCs w:val="24"/>
        </w:rPr>
        <w:t xml:space="preserve">expresamente prevista en el ordenamiento jurídico, </w:t>
      </w:r>
      <w:r w:rsidR="00FF429D">
        <w:rPr>
          <w:rFonts w:ascii="Times New Roman" w:hAnsi="Times New Roman" w:cs="Times New Roman"/>
          <w:sz w:val="24"/>
          <w:szCs w:val="24"/>
        </w:rPr>
        <w:t>lo cual vulneró el</w:t>
      </w:r>
      <w:r w:rsidR="00FF429D" w:rsidRPr="00EF2912">
        <w:rPr>
          <w:rFonts w:ascii="Times New Roman" w:hAnsi="Times New Roman" w:cs="Times New Roman"/>
          <w:sz w:val="24"/>
          <w:szCs w:val="24"/>
        </w:rPr>
        <w:t xml:space="preserve"> derecho a recurrir por cuanto el establecimiento de requisitos </w:t>
      </w:r>
      <w:r w:rsidR="00FF429D">
        <w:rPr>
          <w:rFonts w:ascii="Times New Roman" w:hAnsi="Times New Roman" w:cs="Times New Roman"/>
          <w:sz w:val="24"/>
          <w:szCs w:val="24"/>
        </w:rPr>
        <w:t xml:space="preserve">adicionales constituyeron </w:t>
      </w:r>
      <w:r w:rsidR="00FF429D" w:rsidRPr="00EF2912">
        <w:rPr>
          <w:rFonts w:ascii="Times New Roman" w:hAnsi="Times New Roman" w:cs="Times New Roman"/>
          <w:sz w:val="24"/>
          <w:szCs w:val="24"/>
        </w:rPr>
        <w:t xml:space="preserve">una traba en el acceso al </w:t>
      </w:r>
      <w:r w:rsidR="00393563">
        <w:rPr>
          <w:rFonts w:ascii="Times New Roman" w:hAnsi="Times New Roman" w:cs="Times New Roman"/>
          <w:sz w:val="24"/>
          <w:szCs w:val="24"/>
        </w:rPr>
        <w:t>mismo</w:t>
      </w:r>
    </w:p>
    <w:p w14:paraId="797580C9" w14:textId="6D42A633" w:rsidR="00CC383F" w:rsidRPr="00CC383F" w:rsidRDefault="00CC383F" w:rsidP="00DB77D8">
      <w:pPr>
        <w:spacing w:line="360" w:lineRule="auto"/>
        <w:jc w:val="both"/>
        <w:rPr>
          <w:rFonts w:ascii="Times New Roman" w:hAnsi="Times New Roman" w:cs="Times New Roman"/>
          <w:sz w:val="24"/>
          <w:szCs w:val="24"/>
        </w:rPr>
      </w:pPr>
      <w:r w:rsidRPr="00CC383F">
        <w:rPr>
          <w:rFonts w:ascii="Times New Roman" w:hAnsi="Times New Roman" w:cs="Times New Roman"/>
          <w:sz w:val="24"/>
          <w:szCs w:val="24"/>
        </w:rPr>
        <w:t xml:space="preserve">A criterio de la Corte Constitucional la fase de admisión no prevista en ese momento en el COIP y constante en la </w:t>
      </w:r>
      <w:r>
        <w:rPr>
          <w:rFonts w:ascii="Times New Roman" w:hAnsi="Times New Roman" w:cs="Times New Roman"/>
          <w:sz w:val="24"/>
          <w:szCs w:val="24"/>
        </w:rPr>
        <w:t>R</w:t>
      </w:r>
      <w:r w:rsidRPr="00CC383F">
        <w:rPr>
          <w:rFonts w:ascii="Times New Roman" w:hAnsi="Times New Roman" w:cs="Times New Roman"/>
          <w:sz w:val="24"/>
          <w:szCs w:val="24"/>
        </w:rPr>
        <w:t>esolución</w:t>
      </w:r>
      <w:r w:rsidR="000474FC">
        <w:rPr>
          <w:rFonts w:ascii="Times New Roman" w:hAnsi="Times New Roman" w:cs="Times New Roman"/>
          <w:sz w:val="24"/>
          <w:szCs w:val="24"/>
        </w:rPr>
        <w:t xml:space="preserve"> No.</w:t>
      </w:r>
      <w:r w:rsidRPr="00CC383F">
        <w:rPr>
          <w:rFonts w:ascii="Times New Roman" w:hAnsi="Times New Roman" w:cs="Times New Roman"/>
          <w:sz w:val="24"/>
          <w:szCs w:val="24"/>
        </w:rPr>
        <w:t xml:space="preserve"> 10-2015, es </w:t>
      </w:r>
      <w:proofErr w:type="gramStart"/>
      <w:r w:rsidRPr="00CC383F">
        <w:rPr>
          <w:rFonts w:ascii="Times New Roman" w:hAnsi="Times New Roman" w:cs="Times New Roman"/>
          <w:sz w:val="24"/>
          <w:szCs w:val="24"/>
        </w:rPr>
        <w:t xml:space="preserve">inconstitucional </w:t>
      </w:r>
      <w:r w:rsidR="00A54432">
        <w:rPr>
          <w:rFonts w:ascii="Times New Roman" w:hAnsi="Times New Roman" w:cs="Times New Roman"/>
          <w:sz w:val="24"/>
          <w:szCs w:val="24"/>
        </w:rPr>
        <w:t xml:space="preserve"> únicamente</w:t>
      </w:r>
      <w:proofErr w:type="gramEnd"/>
      <w:r w:rsidR="00A54432">
        <w:rPr>
          <w:rFonts w:ascii="Times New Roman" w:hAnsi="Times New Roman" w:cs="Times New Roman"/>
          <w:sz w:val="24"/>
          <w:szCs w:val="24"/>
        </w:rPr>
        <w:t xml:space="preserve">  </w:t>
      </w:r>
      <w:r w:rsidRPr="00CC383F">
        <w:rPr>
          <w:rFonts w:ascii="Times New Roman" w:hAnsi="Times New Roman" w:cs="Times New Roman"/>
          <w:sz w:val="24"/>
          <w:szCs w:val="24"/>
        </w:rPr>
        <w:t>por la forma, al contravenir los procedimientos constitucionales contemplados para la determinación de jurisprudencia obligatoria.</w:t>
      </w:r>
    </w:p>
    <w:p w14:paraId="2BDA8D77" w14:textId="77777777" w:rsidR="00CC383F" w:rsidRDefault="00CC383F" w:rsidP="00B21A77">
      <w:pPr>
        <w:spacing w:line="360" w:lineRule="auto"/>
        <w:ind w:firstLine="720"/>
        <w:jc w:val="both"/>
        <w:rPr>
          <w:rFonts w:ascii="Arial" w:hAnsi="Arial" w:cs="Arial"/>
        </w:rPr>
      </w:pPr>
    </w:p>
    <w:p w14:paraId="554945F8" w14:textId="5E1799CF" w:rsidR="00C56226" w:rsidRPr="006A5283" w:rsidRDefault="00C56226"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Recordemos que al inadmitirse los recursos de casación </w:t>
      </w:r>
      <w:r w:rsidR="007F744F">
        <w:rPr>
          <w:rFonts w:ascii="Times New Roman" w:hAnsi="Times New Roman" w:cs="Times New Roman"/>
          <w:sz w:val="24"/>
          <w:szCs w:val="24"/>
        </w:rPr>
        <w:t xml:space="preserve">en materia penal, </w:t>
      </w:r>
      <w:r>
        <w:rPr>
          <w:rFonts w:ascii="Times New Roman" w:hAnsi="Times New Roman" w:cs="Times New Roman"/>
          <w:sz w:val="24"/>
          <w:szCs w:val="24"/>
        </w:rPr>
        <w:t xml:space="preserve">la Corte Constitucional ha reconocido en </w:t>
      </w:r>
      <w:r w:rsidRPr="00F94FDA">
        <w:rPr>
          <w:rFonts w:ascii="Times New Roman" w:hAnsi="Times New Roman" w:cs="Times New Roman"/>
          <w:sz w:val="24"/>
          <w:szCs w:val="24"/>
        </w:rPr>
        <w:t>numerosas sentencias</w:t>
      </w:r>
      <w:r>
        <w:rPr>
          <w:rFonts w:ascii="Times New Roman" w:hAnsi="Times New Roman" w:cs="Times New Roman"/>
          <w:sz w:val="24"/>
          <w:szCs w:val="24"/>
        </w:rPr>
        <w:t xml:space="preserve"> que se ha violentado el derecho</w:t>
      </w:r>
      <w:r w:rsidR="007F744F" w:rsidRPr="007F744F">
        <w:rPr>
          <w:rFonts w:ascii="Times New Roman" w:hAnsi="Times New Roman" w:cs="Times New Roman"/>
          <w:sz w:val="24"/>
          <w:szCs w:val="24"/>
        </w:rPr>
        <w:t xml:space="preserve"> </w:t>
      </w:r>
      <w:r w:rsidR="007F744F" w:rsidRPr="00AB462B">
        <w:rPr>
          <w:rFonts w:ascii="Times New Roman" w:hAnsi="Times New Roman" w:cs="Times New Roman"/>
          <w:sz w:val="24"/>
          <w:szCs w:val="24"/>
        </w:rPr>
        <w:t>constitucional al debido proceso en la garantía de recurrir</w:t>
      </w:r>
      <w:r>
        <w:rPr>
          <w:rFonts w:ascii="Times New Roman" w:hAnsi="Times New Roman" w:cs="Times New Roman"/>
          <w:sz w:val="24"/>
          <w:szCs w:val="24"/>
        </w:rPr>
        <w:t xml:space="preserve"> </w:t>
      </w:r>
      <w:r w:rsidR="007F744F">
        <w:rPr>
          <w:rFonts w:ascii="Times New Roman" w:hAnsi="Times New Roman" w:cs="Times New Roman"/>
          <w:sz w:val="24"/>
          <w:szCs w:val="24"/>
        </w:rPr>
        <w:t>y consecuentemente el derecho a</w:t>
      </w:r>
      <w:r>
        <w:rPr>
          <w:rFonts w:ascii="Times New Roman" w:hAnsi="Times New Roman" w:cs="Times New Roman"/>
          <w:sz w:val="24"/>
          <w:szCs w:val="24"/>
        </w:rPr>
        <w:t xml:space="preserve"> la defensa de los justiciables</w:t>
      </w:r>
      <w:r w:rsidR="009A5664">
        <w:rPr>
          <w:rFonts w:ascii="Times New Roman" w:hAnsi="Times New Roman" w:cs="Times New Roman"/>
          <w:sz w:val="24"/>
          <w:szCs w:val="24"/>
        </w:rPr>
        <w:t xml:space="preserve">, </w:t>
      </w:r>
      <w:r w:rsidR="00393563">
        <w:rPr>
          <w:rFonts w:ascii="Times New Roman" w:hAnsi="Times New Roman" w:cs="Times New Roman"/>
          <w:sz w:val="24"/>
          <w:szCs w:val="24"/>
        </w:rPr>
        <w:t xml:space="preserve"> el cual se constituye como uno de los</w:t>
      </w:r>
      <w:r w:rsidRPr="006A5283">
        <w:rPr>
          <w:rFonts w:ascii="Times New Roman" w:hAnsi="Times New Roman" w:cs="Times New Roman"/>
          <w:sz w:val="24"/>
          <w:szCs w:val="24"/>
        </w:rPr>
        <w:t xml:space="preserve"> baluartes más importantes que existe en el ámbito jurídico y que está reconocido por diferentes tratados internacionales de derechos humanos, siendo est</w:t>
      </w:r>
      <w:r w:rsidR="00393563">
        <w:rPr>
          <w:rFonts w:ascii="Times New Roman" w:hAnsi="Times New Roman" w:cs="Times New Roman"/>
          <w:sz w:val="24"/>
          <w:szCs w:val="24"/>
        </w:rPr>
        <w:t>e</w:t>
      </w:r>
      <w:r w:rsidRPr="006A5283">
        <w:rPr>
          <w:rFonts w:ascii="Times New Roman" w:hAnsi="Times New Roman" w:cs="Times New Roman"/>
          <w:sz w:val="24"/>
          <w:szCs w:val="24"/>
        </w:rPr>
        <w:t xml:space="preserve"> </w:t>
      </w:r>
      <w:r w:rsidR="00393563">
        <w:rPr>
          <w:rFonts w:ascii="Times New Roman" w:hAnsi="Times New Roman" w:cs="Times New Roman"/>
          <w:sz w:val="24"/>
          <w:szCs w:val="24"/>
        </w:rPr>
        <w:t xml:space="preserve">una </w:t>
      </w:r>
      <w:r w:rsidRPr="006A5283">
        <w:rPr>
          <w:rFonts w:ascii="Times New Roman" w:hAnsi="Times New Roman" w:cs="Times New Roman"/>
          <w:sz w:val="24"/>
          <w:szCs w:val="24"/>
        </w:rPr>
        <w:t>garantía básica del debido proceso</w:t>
      </w:r>
      <w:r w:rsidR="00393563">
        <w:rPr>
          <w:rFonts w:ascii="Times New Roman" w:hAnsi="Times New Roman" w:cs="Times New Roman"/>
          <w:sz w:val="24"/>
          <w:szCs w:val="24"/>
        </w:rPr>
        <w:t>.</w:t>
      </w:r>
    </w:p>
    <w:p w14:paraId="765C376B" w14:textId="2E28BA17" w:rsidR="00C56226" w:rsidRPr="006A5283" w:rsidRDefault="0098628C" w:rsidP="00DB77D8">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Claramente </w:t>
      </w:r>
      <w:r w:rsidR="004050E6">
        <w:rPr>
          <w:rFonts w:ascii="Times New Roman" w:hAnsi="Times New Roman" w:cs="Times New Roman"/>
          <w:sz w:val="24"/>
          <w:szCs w:val="24"/>
        </w:rPr>
        <w:t xml:space="preserve">así lo establece </w:t>
      </w:r>
      <w:r>
        <w:rPr>
          <w:rFonts w:ascii="Times New Roman" w:hAnsi="Times New Roman" w:cs="Times New Roman"/>
          <w:sz w:val="24"/>
          <w:szCs w:val="24"/>
        </w:rPr>
        <w:t>l</w:t>
      </w:r>
      <w:r w:rsidR="00C56226" w:rsidRPr="006A5283">
        <w:rPr>
          <w:rFonts w:ascii="Times New Roman" w:hAnsi="Times New Roman" w:cs="Times New Roman"/>
          <w:sz w:val="24"/>
          <w:szCs w:val="24"/>
        </w:rPr>
        <w:t xml:space="preserve">a Organización de los Estados Americanos a través de la Convención Americana de Derechos Humanos (1969) establece en su artículo 8 </w:t>
      </w:r>
      <w:r w:rsidR="00393563">
        <w:rPr>
          <w:rFonts w:ascii="Times New Roman" w:hAnsi="Times New Roman" w:cs="Times New Roman"/>
          <w:sz w:val="24"/>
          <w:szCs w:val="24"/>
        </w:rPr>
        <w:t>número</w:t>
      </w:r>
      <w:r w:rsidR="00393563" w:rsidRPr="006A5283">
        <w:rPr>
          <w:rFonts w:ascii="Times New Roman" w:hAnsi="Times New Roman" w:cs="Times New Roman"/>
          <w:sz w:val="24"/>
          <w:szCs w:val="24"/>
        </w:rPr>
        <w:t xml:space="preserve"> </w:t>
      </w:r>
      <w:r w:rsidR="00C56226" w:rsidRPr="006A5283">
        <w:rPr>
          <w:rFonts w:ascii="Times New Roman" w:hAnsi="Times New Roman" w:cs="Times New Roman"/>
          <w:sz w:val="24"/>
          <w:szCs w:val="24"/>
        </w:rPr>
        <w:t>1 como derecho que tiene toda persona</w:t>
      </w:r>
      <w:r w:rsidR="00393563">
        <w:rPr>
          <w:rFonts w:ascii="Times New Roman" w:hAnsi="Times New Roman" w:cs="Times New Roman"/>
          <w:sz w:val="24"/>
          <w:szCs w:val="24"/>
        </w:rPr>
        <w:t xml:space="preserve"> a</w:t>
      </w:r>
      <w:r w:rsidR="00C56226" w:rsidRPr="006A5283">
        <w:rPr>
          <w:rFonts w:ascii="Times New Roman" w:hAnsi="Times New Roman" w:cs="Times New Roman"/>
          <w:sz w:val="24"/>
          <w:szCs w:val="24"/>
        </w:rPr>
        <w:t xml:space="preserve"> ser oída, con las debidas garantías y dentro de un plazo razonable, por un juez o tribunal competente, independiente e imparcial, establecido con anterioridad por la ley, en la sustanciación de cualquier acusación penal formulada contra ella</w:t>
      </w:r>
      <w:r w:rsidR="00393563">
        <w:rPr>
          <w:rFonts w:ascii="Times New Roman" w:hAnsi="Times New Roman" w:cs="Times New Roman"/>
          <w:sz w:val="24"/>
          <w:szCs w:val="24"/>
        </w:rPr>
        <w:t>.</w:t>
      </w:r>
      <w:r w:rsidR="00C56226" w:rsidRPr="006A5283">
        <w:rPr>
          <w:rFonts w:ascii="Times New Roman" w:hAnsi="Times New Roman" w:cs="Times New Roman"/>
          <w:sz w:val="24"/>
          <w:szCs w:val="24"/>
        </w:rPr>
        <w:t xml:space="preserve"> </w:t>
      </w:r>
      <w:r w:rsidR="00C56226" w:rsidRPr="006A5283">
        <w:rPr>
          <w:rFonts w:ascii="Times New Roman" w:hAnsi="Times New Roman" w:cs="Times New Roman"/>
          <w:bCs/>
          <w:sz w:val="24"/>
          <w:szCs w:val="24"/>
        </w:rPr>
        <w:t xml:space="preserve">(Verdugo &amp; Ramírez, 2022, pp. 655-682)  </w:t>
      </w:r>
    </w:p>
    <w:p w14:paraId="2E8C8D6E" w14:textId="01A76AF2" w:rsidR="004050E6" w:rsidRPr="004050E6" w:rsidRDefault="004050E6" w:rsidP="00DB77D8">
      <w:pPr>
        <w:spacing w:line="360" w:lineRule="auto"/>
        <w:jc w:val="both"/>
        <w:rPr>
          <w:rFonts w:ascii="Times New Roman" w:hAnsi="Times New Roman" w:cs="Times New Roman"/>
          <w:sz w:val="24"/>
          <w:szCs w:val="24"/>
        </w:rPr>
      </w:pPr>
      <w:r w:rsidRPr="004050E6">
        <w:rPr>
          <w:rFonts w:ascii="Times New Roman" w:hAnsi="Times New Roman" w:cs="Times New Roman"/>
          <w:sz w:val="24"/>
          <w:szCs w:val="24"/>
        </w:rPr>
        <w:t>Es importante considera</w:t>
      </w:r>
      <w:r w:rsidR="004A47B7">
        <w:rPr>
          <w:rFonts w:ascii="Times New Roman" w:hAnsi="Times New Roman" w:cs="Times New Roman"/>
          <w:sz w:val="24"/>
          <w:szCs w:val="24"/>
        </w:rPr>
        <w:t>r</w:t>
      </w:r>
      <w:r w:rsidRPr="004050E6">
        <w:rPr>
          <w:rFonts w:ascii="Times New Roman" w:hAnsi="Times New Roman" w:cs="Times New Roman"/>
          <w:sz w:val="24"/>
          <w:szCs w:val="24"/>
        </w:rPr>
        <w:t xml:space="preserve"> que el examen de admisibilidad, en términos generales, cerraba la puerta al recurrente para poder ser oído</w:t>
      </w:r>
      <w:r w:rsidR="00393563">
        <w:rPr>
          <w:rFonts w:ascii="Times New Roman" w:hAnsi="Times New Roman" w:cs="Times New Roman"/>
          <w:sz w:val="24"/>
          <w:szCs w:val="24"/>
        </w:rPr>
        <w:t xml:space="preserve"> </w:t>
      </w:r>
      <w:r w:rsidRPr="004050E6">
        <w:rPr>
          <w:rFonts w:ascii="Times New Roman" w:hAnsi="Times New Roman" w:cs="Times New Roman"/>
          <w:sz w:val="24"/>
          <w:szCs w:val="24"/>
        </w:rPr>
        <w:t xml:space="preserve">ante un tribunal de alzada por lo que </w:t>
      </w:r>
      <w:r w:rsidR="00476662" w:rsidRPr="004050E6">
        <w:rPr>
          <w:rFonts w:ascii="Times New Roman" w:hAnsi="Times New Roman" w:cs="Times New Roman"/>
          <w:sz w:val="24"/>
          <w:szCs w:val="24"/>
        </w:rPr>
        <w:t>únicamente se</w:t>
      </w:r>
      <w:r w:rsidRPr="004050E6">
        <w:rPr>
          <w:rFonts w:ascii="Times New Roman" w:hAnsi="Times New Roman" w:cs="Times New Roman"/>
          <w:sz w:val="24"/>
          <w:szCs w:val="24"/>
        </w:rPr>
        <w:t xml:space="preserve"> admitían los recursos</w:t>
      </w:r>
      <w:r w:rsidR="00B42F44">
        <w:rPr>
          <w:rFonts w:ascii="Times New Roman" w:hAnsi="Times New Roman" w:cs="Times New Roman"/>
          <w:sz w:val="24"/>
          <w:szCs w:val="24"/>
        </w:rPr>
        <w:t>,</w:t>
      </w:r>
      <w:r w:rsidR="00476662" w:rsidRPr="004050E6">
        <w:rPr>
          <w:rFonts w:ascii="Times New Roman" w:hAnsi="Times New Roman" w:cs="Times New Roman"/>
          <w:sz w:val="24"/>
          <w:szCs w:val="24"/>
        </w:rPr>
        <w:t xml:space="preserve"> a</w:t>
      </w:r>
      <w:r w:rsidRPr="004050E6">
        <w:rPr>
          <w:rFonts w:ascii="Times New Roman" w:hAnsi="Times New Roman" w:cs="Times New Roman"/>
          <w:sz w:val="24"/>
          <w:szCs w:val="24"/>
        </w:rPr>
        <w:t xml:space="preserve"> decir de la Corte Nacional</w:t>
      </w:r>
      <w:r w:rsidR="00B42F44">
        <w:rPr>
          <w:rFonts w:ascii="Times New Roman" w:hAnsi="Times New Roman" w:cs="Times New Roman"/>
          <w:sz w:val="24"/>
          <w:szCs w:val="24"/>
        </w:rPr>
        <w:t xml:space="preserve"> de Justicia,</w:t>
      </w:r>
      <w:r w:rsidRPr="004050E6">
        <w:rPr>
          <w:rFonts w:ascii="Times New Roman" w:hAnsi="Times New Roman" w:cs="Times New Roman"/>
          <w:sz w:val="24"/>
          <w:szCs w:val="24"/>
        </w:rPr>
        <w:t xml:space="preserve"> </w:t>
      </w:r>
      <w:r w:rsidR="00B42F44">
        <w:rPr>
          <w:rFonts w:ascii="Times New Roman" w:hAnsi="Times New Roman" w:cs="Times New Roman"/>
          <w:sz w:val="24"/>
          <w:szCs w:val="24"/>
        </w:rPr>
        <w:t xml:space="preserve">era interpuestos </w:t>
      </w:r>
      <w:r w:rsidRPr="004050E6">
        <w:rPr>
          <w:rFonts w:ascii="Times New Roman" w:hAnsi="Times New Roman" w:cs="Times New Roman"/>
          <w:sz w:val="24"/>
          <w:szCs w:val="24"/>
        </w:rPr>
        <w:t xml:space="preserve">de manera correcta en el aspecto formal, lo cual </w:t>
      </w:r>
      <w:r w:rsidR="00B42F44">
        <w:rPr>
          <w:rFonts w:ascii="Times New Roman" w:hAnsi="Times New Roman" w:cs="Times New Roman"/>
          <w:sz w:val="24"/>
          <w:szCs w:val="24"/>
        </w:rPr>
        <w:t>es</w:t>
      </w:r>
      <w:r w:rsidRPr="004050E6">
        <w:rPr>
          <w:rFonts w:ascii="Times New Roman" w:hAnsi="Times New Roman" w:cs="Times New Roman"/>
          <w:sz w:val="24"/>
          <w:szCs w:val="24"/>
        </w:rPr>
        <w:t xml:space="preserve"> contradictorio con lo dispuesto en el Art. 169 de la Constitución de la República del Ecuador</w:t>
      </w:r>
      <w:r w:rsidR="00B42F44">
        <w:rPr>
          <w:rFonts w:ascii="Times New Roman" w:hAnsi="Times New Roman" w:cs="Times New Roman"/>
          <w:sz w:val="24"/>
          <w:szCs w:val="24"/>
        </w:rPr>
        <w:t xml:space="preserve"> (2008),</w:t>
      </w:r>
      <w:r w:rsidRPr="004050E6">
        <w:rPr>
          <w:rFonts w:ascii="Times New Roman" w:hAnsi="Times New Roman" w:cs="Times New Roman"/>
          <w:sz w:val="24"/>
          <w:szCs w:val="24"/>
        </w:rPr>
        <w:t xml:space="preserve"> que </w:t>
      </w:r>
      <w:r w:rsidR="00476662">
        <w:rPr>
          <w:rFonts w:ascii="Times New Roman" w:hAnsi="Times New Roman" w:cs="Times New Roman"/>
          <w:sz w:val="24"/>
          <w:szCs w:val="24"/>
        </w:rPr>
        <w:t>establece</w:t>
      </w:r>
      <w:r w:rsidR="00B42F44">
        <w:rPr>
          <w:rFonts w:ascii="Times New Roman" w:hAnsi="Times New Roman" w:cs="Times New Roman"/>
          <w:sz w:val="24"/>
          <w:szCs w:val="24"/>
        </w:rPr>
        <w:t xml:space="preserve"> que e</w:t>
      </w:r>
      <w:r w:rsidRPr="004050E6">
        <w:rPr>
          <w:rFonts w:ascii="Times New Roman" w:hAnsi="Times New Roman" w:cs="Times New Roman"/>
          <w:sz w:val="24"/>
          <w:szCs w:val="24"/>
        </w:rPr>
        <w:t>l sistema procesal es un medio para la realización de la justicia</w:t>
      </w:r>
      <w:r w:rsidR="00B42F44">
        <w:rPr>
          <w:rFonts w:ascii="Times New Roman" w:hAnsi="Times New Roman" w:cs="Times New Roman"/>
          <w:sz w:val="24"/>
          <w:szCs w:val="24"/>
        </w:rPr>
        <w:t xml:space="preserve"> y que l</w:t>
      </w:r>
      <w:r w:rsidRPr="004050E6">
        <w:rPr>
          <w:rFonts w:ascii="Times New Roman" w:hAnsi="Times New Roman" w:cs="Times New Roman"/>
          <w:sz w:val="24"/>
          <w:szCs w:val="24"/>
        </w:rPr>
        <w:t xml:space="preserve">as normas procesales consagrarán los principios de simplificación, uniformidad, eficacia, inmediación, celeridad y economía procesal, y harán efectivas las garantías del debido proceso. </w:t>
      </w:r>
      <w:r w:rsidR="00B42F44">
        <w:rPr>
          <w:rFonts w:ascii="Times New Roman" w:hAnsi="Times New Roman" w:cs="Times New Roman"/>
          <w:sz w:val="24"/>
          <w:szCs w:val="24"/>
        </w:rPr>
        <w:t xml:space="preserve"> Así como, que n</w:t>
      </w:r>
      <w:r w:rsidRPr="004050E6">
        <w:rPr>
          <w:rFonts w:ascii="Times New Roman" w:hAnsi="Times New Roman" w:cs="Times New Roman"/>
          <w:sz w:val="24"/>
          <w:szCs w:val="24"/>
        </w:rPr>
        <w:t>o se sacrificará la justicia por la sola omisión de formalidades</w:t>
      </w:r>
      <w:r w:rsidR="00B42F44">
        <w:rPr>
          <w:rFonts w:ascii="Times New Roman" w:hAnsi="Times New Roman" w:cs="Times New Roman"/>
          <w:sz w:val="24"/>
          <w:szCs w:val="24"/>
        </w:rPr>
        <w:t>.</w:t>
      </w:r>
    </w:p>
    <w:p w14:paraId="0CE788F7" w14:textId="70C6E98F" w:rsidR="001707E6" w:rsidRDefault="005E3BC9" w:rsidP="00B21A77">
      <w:pPr>
        <w:spacing w:line="360" w:lineRule="auto"/>
        <w:jc w:val="center"/>
        <w:rPr>
          <w:rFonts w:ascii="Times New Roman" w:eastAsia="Times New Roman" w:hAnsi="Times New Roman" w:cs="Times New Roman"/>
          <w:b/>
          <w:bCs/>
          <w:sz w:val="28"/>
          <w:szCs w:val="28"/>
          <w:lang w:eastAsia="es-EC"/>
        </w:rPr>
      </w:pPr>
      <w:r>
        <w:rPr>
          <w:rFonts w:ascii="Times New Roman" w:eastAsia="Times New Roman" w:hAnsi="Times New Roman" w:cs="Times New Roman"/>
          <w:b/>
          <w:bCs/>
          <w:sz w:val="28"/>
          <w:szCs w:val="28"/>
          <w:lang w:eastAsia="es-EC"/>
        </w:rPr>
        <w:t>C</w:t>
      </w:r>
      <w:r w:rsidRPr="005E3BC9">
        <w:rPr>
          <w:rFonts w:ascii="Times New Roman" w:eastAsia="Times New Roman" w:hAnsi="Times New Roman" w:cs="Times New Roman"/>
          <w:b/>
          <w:bCs/>
          <w:sz w:val="28"/>
          <w:szCs w:val="28"/>
          <w:lang w:eastAsia="es-EC"/>
        </w:rPr>
        <w:t>onclusiones</w:t>
      </w:r>
    </w:p>
    <w:p w14:paraId="0A9A8F34" w14:textId="1D4F6A7B" w:rsidR="00314A7C" w:rsidRPr="00FA0B70" w:rsidRDefault="00314A7C" w:rsidP="00B21A77">
      <w:pPr>
        <w:spacing w:line="360" w:lineRule="auto"/>
        <w:jc w:val="both"/>
        <w:rPr>
          <w:rFonts w:ascii="Times New Roman" w:hAnsi="Times New Roman" w:cs="Times New Roman"/>
          <w:bCs/>
          <w:sz w:val="24"/>
          <w:szCs w:val="24"/>
        </w:rPr>
      </w:pPr>
      <w:r w:rsidRPr="00FA0B70">
        <w:rPr>
          <w:rFonts w:ascii="Times New Roman" w:hAnsi="Times New Roman" w:cs="Times New Roman"/>
          <w:bCs/>
          <w:sz w:val="24"/>
          <w:szCs w:val="24"/>
        </w:rPr>
        <w:t xml:space="preserve">Del estudio realizado </w:t>
      </w:r>
      <w:r w:rsidR="00F7501E" w:rsidRPr="00FA0B70">
        <w:rPr>
          <w:rFonts w:ascii="Times New Roman" w:hAnsi="Times New Roman" w:cs="Times New Roman"/>
          <w:bCs/>
          <w:sz w:val="24"/>
          <w:szCs w:val="24"/>
        </w:rPr>
        <w:t xml:space="preserve">y en función de los métodos </w:t>
      </w:r>
      <w:r w:rsidR="00B42F44" w:rsidRPr="006A5283">
        <w:rPr>
          <w:rFonts w:ascii="Times New Roman" w:eastAsia="Times New Roman" w:hAnsi="Times New Roman" w:cs="Times New Roman"/>
          <w:color w:val="000000"/>
          <w:sz w:val="24"/>
          <w:szCs w:val="24"/>
          <w:lang w:val="es-ES"/>
        </w:rPr>
        <w:t>bibliográfico,</w:t>
      </w:r>
      <w:r w:rsidR="00B42F44">
        <w:rPr>
          <w:rFonts w:ascii="Times New Roman" w:eastAsia="Times New Roman" w:hAnsi="Times New Roman" w:cs="Times New Roman"/>
          <w:color w:val="000000"/>
          <w:sz w:val="24"/>
          <w:szCs w:val="24"/>
          <w:lang w:val="es-ES"/>
        </w:rPr>
        <w:t xml:space="preserve"> analítico,</w:t>
      </w:r>
      <w:r w:rsidR="00B42F44" w:rsidRPr="006A5283">
        <w:rPr>
          <w:rFonts w:ascii="Times New Roman" w:eastAsia="Times New Roman" w:hAnsi="Times New Roman" w:cs="Times New Roman"/>
          <w:color w:val="000000"/>
          <w:sz w:val="24"/>
          <w:szCs w:val="24"/>
          <w:lang w:val="es-ES"/>
        </w:rPr>
        <w:t xml:space="preserve"> histórico-lógico</w:t>
      </w:r>
      <w:r w:rsidR="00B42F44">
        <w:rPr>
          <w:rFonts w:ascii="Times New Roman" w:eastAsia="Times New Roman" w:hAnsi="Times New Roman" w:cs="Times New Roman"/>
          <w:color w:val="000000"/>
          <w:sz w:val="24"/>
          <w:szCs w:val="24"/>
          <w:lang w:val="es-ES"/>
        </w:rPr>
        <w:t>, exegético e inductivo</w:t>
      </w:r>
      <w:r w:rsidR="00A54432">
        <w:rPr>
          <w:rFonts w:ascii="Times New Roman" w:hAnsi="Times New Roman" w:cs="Times New Roman"/>
          <w:bCs/>
          <w:sz w:val="24"/>
          <w:szCs w:val="24"/>
        </w:rPr>
        <w:t xml:space="preserve"> se</w:t>
      </w:r>
      <w:r w:rsidR="00F7501E" w:rsidRPr="00FA0B70">
        <w:rPr>
          <w:rFonts w:ascii="Times New Roman" w:hAnsi="Times New Roman" w:cs="Times New Roman"/>
          <w:bCs/>
          <w:sz w:val="24"/>
          <w:szCs w:val="24"/>
        </w:rPr>
        <w:t xml:space="preserve"> concluye que:</w:t>
      </w:r>
    </w:p>
    <w:p w14:paraId="5BA03C03" w14:textId="64CA0793" w:rsidR="00A54432" w:rsidRPr="00ED6591" w:rsidRDefault="00A54432" w:rsidP="00DB77D8">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Pr="00AD5F47">
        <w:rPr>
          <w:rFonts w:ascii="Times New Roman" w:hAnsi="Times New Roman" w:cs="Times New Roman"/>
          <w:sz w:val="24"/>
          <w:szCs w:val="24"/>
        </w:rPr>
        <w:t xml:space="preserve"> Resolución No. 10-2015, emitida por la Corte Nacional de Justicia, introdujo una fase de admisibilidad en el recurso de casación penal sin </w:t>
      </w:r>
      <w:r w:rsidR="00B42F44">
        <w:rPr>
          <w:rFonts w:ascii="Times New Roman" w:hAnsi="Times New Roman" w:cs="Times New Roman"/>
          <w:sz w:val="24"/>
          <w:szCs w:val="24"/>
        </w:rPr>
        <w:t>estar contemplado en el</w:t>
      </w:r>
      <w:r w:rsidRPr="00AD5F47">
        <w:rPr>
          <w:rFonts w:ascii="Times New Roman" w:hAnsi="Times New Roman" w:cs="Times New Roman"/>
          <w:sz w:val="24"/>
          <w:szCs w:val="24"/>
        </w:rPr>
        <w:t xml:space="preserve"> Código Orgánico Integral Penal, lo que derivó en una práctica contraria a los principios constitucionales del debido proceso</w:t>
      </w:r>
      <w:r>
        <w:rPr>
          <w:rFonts w:ascii="Times New Roman" w:hAnsi="Times New Roman" w:cs="Times New Roman"/>
          <w:sz w:val="24"/>
          <w:szCs w:val="24"/>
        </w:rPr>
        <w:t xml:space="preserve"> </w:t>
      </w:r>
      <w:r w:rsidRPr="00AD5F47">
        <w:rPr>
          <w:rFonts w:ascii="Times New Roman" w:hAnsi="Times New Roman" w:cs="Times New Roman"/>
          <w:sz w:val="24"/>
          <w:szCs w:val="24"/>
        </w:rPr>
        <w:t>y el derecho a la defensa. Esta medida restringió injustificadamente el acceso al recurso</w:t>
      </w:r>
      <w:r>
        <w:rPr>
          <w:rFonts w:ascii="Times New Roman" w:hAnsi="Times New Roman" w:cs="Times New Roman"/>
          <w:sz w:val="24"/>
          <w:szCs w:val="24"/>
        </w:rPr>
        <w:t xml:space="preserve"> de casación penal</w:t>
      </w:r>
      <w:r w:rsidRPr="00AD5F47">
        <w:rPr>
          <w:rFonts w:ascii="Times New Roman" w:hAnsi="Times New Roman" w:cs="Times New Roman"/>
          <w:sz w:val="24"/>
          <w:szCs w:val="24"/>
        </w:rPr>
        <w:t xml:space="preserve">, </w:t>
      </w:r>
      <w:r>
        <w:rPr>
          <w:rFonts w:ascii="Times New Roman" w:hAnsi="Times New Roman" w:cs="Times New Roman"/>
          <w:sz w:val="24"/>
          <w:szCs w:val="24"/>
        </w:rPr>
        <w:t>a través de una fase de admisibilidad</w:t>
      </w:r>
      <w:r w:rsidRPr="00AD5F47">
        <w:rPr>
          <w:rFonts w:ascii="Times New Roman" w:hAnsi="Times New Roman" w:cs="Times New Roman"/>
          <w:sz w:val="24"/>
          <w:szCs w:val="24"/>
        </w:rPr>
        <w:t xml:space="preserve"> selectiva y excluyente que comprometió </w:t>
      </w:r>
      <w:r>
        <w:rPr>
          <w:rFonts w:ascii="Times New Roman" w:hAnsi="Times New Roman" w:cs="Times New Roman"/>
          <w:sz w:val="24"/>
          <w:szCs w:val="24"/>
        </w:rPr>
        <w:t>del derecho a</w:t>
      </w:r>
      <w:r w:rsidRPr="00AD5F47">
        <w:rPr>
          <w:rFonts w:ascii="Times New Roman" w:hAnsi="Times New Roman" w:cs="Times New Roman"/>
          <w:sz w:val="24"/>
          <w:szCs w:val="24"/>
        </w:rPr>
        <w:t xml:space="preserve"> recurrir</w:t>
      </w:r>
      <w:r>
        <w:rPr>
          <w:rFonts w:ascii="Times New Roman" w:hAnsi="Times New Roman" w:cs="Times New Roman"/>
          <w:sz w:val="24"/>
          <w:szCs w:val="24"/>
        </w:rPr>
        <w:t xml:space="preserve"> de los sentenciados en un proceso penal</w:t>
      </w:r>
      <w:r w:rsidRPr="00AD5F47">
        <w:rPr>
          <w:rFonts w:ascii="Times New Roman" w:hAnsi="Times New Roman" w:cs="Times New Roman"/>
          <w:sz w:val="24"/>
          <w:szCs w:val="24"/>
        </w:rPr>
        <w:t xml:space="preserve">, </w:t>
      </w:r>
      <w:r>
        <w:rPr>
          <w:rFonts w:ascii="Times New Roman" w:hAnsi="Times New Roman" w:cs="Times New Roman"/>
          <w:sz w:val="24"/>
          <w:szCs w:val="24"/>
        </w:rPr>
        <w:t>obligándolos</w:t>
      </w:r>
      <w:r w:rsidRPr="00AD5F47">
        <w:rPr>
          <w:rFonts w:ascii="Times New Roman" w:hAnsi="Times New Roman" w:cs="Times New Roman"/>
          <w:sz w:val="24"/>
          <w:szCs w:val="24"/>
        </w:rPr>
        <w:t xml:space="preserve"> a acudir a instancias constitucionales para salvaguardar sus derechos</w:t>
      </w:r>
      <w:r>
        <w:rPr>
          <w:rFonts w:ascii="Times New Roman" w:hAnsi="Times New Roman" w:cs="Times New Roman"/>
          <w:sz w:val="24"/>
          <w:szCs w:val="24"/>
        </w:rPr>
        <w:t xml:space="preserve">. </w:t>
      </w:r>
      <w:r w:rsidRPr="00ED6591">
        <w:rPr>
          <w:rFonts w:ascii="Times New Roman" w:hAnsi="Times New Roman" w:cs="Times New Roman"/>
          <w:sz w:val="24"/>
          <w:szCs w:val="24"/>
        </w:rPr>
        <w:t xml:space="preserve">En múltiples ocasiones, </w:t>
      </w:r>
      <w:r w:rsidR="00825C59">
        <w:rPr>
          <w:rFonts w:ascii="Times New Roman" w:hAnsi="Times New Roman" w:cs="Times New Roman"/>
          <w:sz w:val="24"/>
          <w:szCs w:val="24"/>
        </w:rPr>
        <w:t>la Corte Constitucional</w:t>
      </w:r>
      <w:r w:rsidRPr="00ED6591">
        <w:rPr>
          <w:rFonts w:ascii="Times New Roman" w:hAnsi="Times New Roman" w:cs="Times New Roman"/>
          <w:sz w:val="24"/>
          <w:szCs w:val="24"/>
        </w:rPr>
        <w:t xml:space="preserve"> reconoció la vulneración del derecho al debido proceso, específicamente en su garantía de recurrir, y del derecho a la defensa</w:t>
      </w:r>
      <w:r>
        <w:rPr>
          <w:rFonts w:ascii="Times New Roman" w:hAnsi="Times New Roman" w:cs="Times New Roman"/>
          <w:sz w:val="24"/>
          <w:szCs w:val="24"/>
        </w:rPr>
        <w:t xml:space="preserve">. </w:t>
      </w:r>
      <w:r w:rsidRPr="00ED6591">
        <w:rPr>
          <w:rFonts w:ascii="Times New Roman" w:hAnsi="Times New Roman" w:cs="Times New Roman"/>
          <w:sz w:val="24"/>
          <w:szCs w:val="24"/>
        </w:rPr>
        <w:t xml:space="preserve">Como consecuencia, la Corte Constitucional ordenó la retroacción de los procesos, disponiendo que sean nuevamente sorteados para conocimiento y resolución por parte de la Corte Nacional de Justicia, </w:t>
      </w:r>
      <w:r>
        <w:rPr>
          <w:rFonts w:ascii="Times New Roman" w:hAnsi="Times New Roman" w:cs="Times New Roman"/>
          <w:sz w:val="24"/>
          <w:szCs w:val="24"/>
        </w:rPr>
        <w:t>lo cual evidencia una vulneración al derecho a la tutela judicial efectiva de los sentenciados; así como a los principios de economía procesal y celeridad que rigen el ordenamiento jurídico</w:t>
      </w:r>
      <w:r w:rsidRPr="00ED6591">
        <w:rPr>
          <w:rFonts w:ascii="Times New Roman" w:hAnsi="Times New Roman" w:cs="Times New Roman"/>
          <w:sz w:val="24"/>
          <w:szCs w:val="24"/>
        </w:rPr>
        <w:t>.</w:t>
      </w:r>
    </w:p>
    <w:p w14:paraId="001A938B" w14:textId="35918F3C" w:rsidR="00A54432" w:rsidRDefault="00A54432" w:rsidP="00DB77D8">
      <w:pPr>
        <w:spacing w:line="360" w:lineRule="auto"/>
        <w:jc w:val="both"/>
        <w:rPr>
          <w:rFonts w:ascii="Times New Roman" w:hAnsi="Times New Roman" w:cs="Times New Roman"/>
          <w:sz w:val="24"/>
          <w:szCs w:val="24"/>
        </w:rPr>
      </w:pPr>
      <w:r w:rsidRPr="00AD5F47">
        <w:rPr>
          <w:rFonts w:ascii="Times New Roman" w:hAnsi="Times New Roman" w:cs="Times New Roman"/>
          <w:sz w:val="24"/>
          <w:szCs w:val="24"/>
        </w:rPr>
        <w:t xml:space="preserve">Aunque la Corte Constitucional </w:t>
      </w:r>
      <w:r w:rsidRPr="00314A7C">
        <w:rPr>
          <w:rFonts w:ascii="Times New Roman" w:hAnsi="Times New Roman" w:cs="Times New Roman"/>
          <w:sz w:val="24"/>
          <w:szCs w:val="24"/>
        </w:rPr>
        <w:t xml:space="preserve">en </w:t>
      </w:r>
      <w:r>
        <w:rPr>
          <w:rFonts w:ascii="Times New Roman" w:hAnsi="Times New Roman" w:cs="Times New Roman"/>
          <w:sz w:val="24"/>
          <w:szCs w:val="24"/>
        </w:rPr>
        <w:t>S</w:t>
      </w:r>
      <w:r w:rsidRPr="00314A7C">
        <w:rPr>
          <w:rFonts w:ascii="Times New Roman" w:hAnsi="Times New Roman" w:cs="Times New Roman"/>
          <w:sz w:val="24"/>
          <w:szCs w:val="24"/>
        </w:rPr>
        <w:t xml:space="preserve">entencia </w:t>
      </w:r>
      <w:r>
        <w:rPr>
          <w:rFonts w:ascii="Times New Roman" w:hAnsi="Times New Roman" w:cs="Times New Roman"/>
          <w:sz w:val="24"/>
          <w:szCs w:val="24"/>
        </w:rPr>
        <w:t xml:space="preserve">Nro. </w:t>
      </w:r>
      <w:r w:rsidRPr="00314A7C">
        <w:rPr>
          <w:rFonts w:ascii="Times New Roman" w:hAnsi="Times New Roman" w:cs="Times New Roman"/>
          <w:sz w:val="24"/>
          <w:szCs w:val="24"/>
        </w:rPr>
        <w:t>8-19-IN/2021</w:t>
      </w:r>
      <w:r w:rsidR="00B42F44">
        <w:rPr>
          <w:rFonts w:ascii="Times New Roman" w:hAnsi="Times New Roman" w:cs="Times New Roman"/>
          <w:sz w:val="24"/>
          <w:szCs w:val="24"/>
        </w:rPr>
        <w:t xml:space="preserve"> </w:t>
      </w:r>
      <w:r w:rsidRPr="00314A7C">
        <w:rPr>
          <w:rFonts w:ascii="Times New Roman" w:hAnsi="Times New Roman" w:cs="Times New Roman"/>
          <w:sz w:val="24"/>
          <w:szCs w:val="24"/>
        </w:rPr>
        <w:t xml:space="preserve">declara inconstitucional la </w:t>
      </w:r>
      <w:r>
        <w:rPr>
          <w:rFonts w:ascii="Times New Roman" w:hAnsi="Times New Roman" w:cs="Times New Roman"/>
          <w:sz w:val="24"/>
          <w:szCs w:val="24"/>
        </w:rPr>
        <w:t>R</w:t>
      </w:r>
      <w:r w:rsidRPr="00314A7C">
        <w:rPr>
          <w:rFonts w:ascii="Times New Roman" w:hAnsi="Times New Roman" w:cs="Times New Roman"/>
          <w:sz w:val="24"/>
          <w:szCs w:val="24"/>
        </w:rPr>
        <w:t xml:space="preserve">esolución </w:t>
      </w:r>
      <w:r>
        <w:rPr>
          <w:rFonts w:ascii="Times New Roman" w:hAnsi="Times New Roman" w:cs="Times New Roman"/>
          <w:sz w:val="24"/>
          <w:szCs w:val="24"/>
        </w:rPr>
        <w:t xml:space="preserve">No. </w:t>
      </w:r>
      <w:r w:rsidRPr="00314A7C">
        <w:rPr>
          <w:rFonts w:ascii="Times New Roman" w:hAnsi="Times New Roman" w:cs="Times New Roman"/>
          <w:sz w:val="24"/>
          <w:szCs w:val="24"/>
        </w:rPr>
        <w:t>10-2025 emitida por la Corte Nacional de Justici</w:t>
      </w:r>
      <w:r>
        <w:rPr>
          <w:rFonts w:ascii="Times New Roman" w:hAnsi="Times New Roman" w:cs="Times New Roman"/>
          <w:sz w:val="24"/>
          <w:szCs w:val="24"/>
        </w:rPr>
        <w:t xml:space="preserve">a y </w:t>
      </w:r>
      <w:r w:rsidRPr="00AD5F47">
        <w:rPr>
          <w:rFonts w:ascii="Times New Roman" w:hAnsi="Times New Roman" w:cs="Times New Roman"/>
          <w:sz w:val="24"/>
          <w:szCs w:val="24"/>
        </w:rPr>
        <w:t>expulsó dicha resolución del ordenamiento jurídico por motivos formales, persistió la omisión de un análisis de fondo sobre la afectación sustancial a derechos fundamentales</w:t>
      </w:r>
      <w:r w:rsidR="00B42F44">
        <w:rPr>
          <w:rFonts w:ascii="Times New Roman" w:hAnsi="Times New Roman" w:cs="Times New Roman"/>
          <w:sz w:val="24"/>
          <w:szCs w:val="24"/>
        </w:rPr>
        <w:t>. Dicha</w:t>
      </w:r>
      <w:r w:rsidR="00B42F44" w:rsidRPr="00B42F44">
        <w:rPr>
          <w:rFonts w:ascii="Times New Roman" w:hAnsi="Times New Roman" w:cs="Times New Roman"/>
          <w:sz w:val="24"/>
          <w:szCs w:val="24"/>
        </w:rPr>
        <w:t xml:space="preserve"> omisión dejó sin resolver aspectos esenciales sobre la protección efectiva de </w:t>
      </w:r>
      <w:r w:rsidR="00B42F44">
        <w:rPr>
          <w:rFonts w:ascii="Times New Roman" w:hAnsi="Times New Roman" w:cs="Times New Roman"/>
          <w:sz w:val="24"/>
          <w:szCs w:val="24"/>
        </w:rPr>
        <w:t>los</w:t>
      </w:r>
      <w:r w:rsidR="00B42F44" w:rsidRPr="00B42F44">
        <w:rPr>
          <w:rFonts w:ascii="Times New Roman" w:hAnsi="Times New Roman" w:cs="Times New Roman"/>
          <w:sz w:val="24"/>
          <w:szCs w:val="24"/>
        </w:rPr>
        <w:t xml:space="preserve"> derechos </w:t>
      </w:r>
      <w:r w:rsidR="00B42F44">
        <w:rPr>
          <w:rFonts w:ascii="Times New Roman" w:hAnsi="Times New Roman" w:cs="Times New Roman"/>
          <w:sz w:val="24"/>
          <w:szCs w:val="24"/>
        </w:rPr>
        <w:t>de las personas sentenciadas en un proceso penal</w:t>
      </w:r>
      <w:r w:rsidR="00B42F44" w:rsidRPr="00B42F44">
        <w:rPr>
          <w:rFonts w:ascii="Times New Roman" w:hAnsi="Times New Roman" w:cs="Times New Roman"/>
          <w:sz w:val="24"/>
          <w:szCs w:val="24"/>
        </w:rPr>
        <w:t xml:space="preserve">, lo cual ha sido abordado en el presente trabajo de investigación con el objetivo de evidenciar la </w:t>
      </w:r>
      <w:r w:rsidR="00B42F44">
        <w:rPr>
          <w:rFonts w:ascii="Times New Roman" w:hAnsi="Times New Roman" w:cs="Times New Roman"/>
          <w:sz w:val="24"/>
          <w:szCs w:val="24"/>
        </w:rPr>
        <w:t xml:space="preserve">vulneración a los derechos </w:t>
      </w:r>
      <w:r w:rsidR="001E1C77">
        <w:rPr>
          <w:rFonts w:ascii="Times New Roman" w:hAnsi="Times New Roman" w:cs="Times New Roman"/>
          <w:sz w:val="24"/>
          <w:szCs w:val="24"/>
        </w:rPr>
        <w:t xml:space="preserve">ante la creación inconstitucional de una fase de </w:t>
      </w:r>
      <w:r w:rsidR="00825C59">
        <w:rPr>
          <w:rFonts w:ascii="Times New Roman" w:hAnsi="Times New Roman" w:cs="Times New Roman"/>
          <w:sz w:val="24"/>
          <w:szCs w:val="24"/>
        </w:rPr>
        <w:t>admisibilidad</w:t>
      </w:r>
      <w:r w:rsidR="001E1C77">
        <w:rPr>
          <w:rFonts w:ascii="Times New Roman" w:hAnsi="Times New Roman" w:cs="Times New Roman"/>
          <w:sz w:val="24"/>
          <w:szCs w:val="24"/>
        </w:rPr>
        <w:t xml:space="preserve"> del recurso de casación penal</w:t>
      </w:r>
      <w:r w:rsidR="00825C59">
        <w:rPr>
          <w:rFonts w:ascii="Times New Roman" w:hAnsi="Times New Roman" w:cs="Times New Roman"/>
          <w:sz w:val="24"/>
          <w:szCs w:val="24"/>
        </w:rPr>
        <w:t>.</w:t>
      </w:r>
    </w:p>
    <w:p w14:paraId="4F8F867C" w14:textId="21E51781" w:rsidR="00A54432" w:rsidRPr="00AD5F47" w:rsidRDefault="00A54432" w:rsidP="00DB77D8">
      <w:pPr>
        <w:spacing w:line="360" w:lineRule="auto"/>
        <w:jc w:val="both"/>
        <w:rPr>
          <w:rFonts w:ascii="Times New Roman" w:hAnsi="Times New Roman" w:cs="Times New Roman"/>
          <w:sz w:val="24"/>
          <w:szCs w:val="24"/>
        </w:rPr>
      </w:pPr>
      <w:r w:rsidRPr="00AD5F47">
        <w:rPr>
          <w:rFonts w:ascii="Times New Roman" w:hAnsi="Times New Roman" w:cs="Times New Roman"/>
          <w:sz w:val="24"/>
          <w:szCs w:val="24"/>
        </w:rPr>
        <w:t xml:space="preserve">En consecuencia, se evidencia la necesidad de que </w:t>
      </w:r>
      <w:r>
        <w:rPr>
          <w:rFonts w:ascii="Times New Roman" w:hAnsi="Times New Roman" w:cs="Times New Roman"/>
          <w:sz w:val="24"/>
          <w:szCs w:val="24"/>
        </w:rPr>
        <w:t>se</w:t>
      </w:r>
      <w:r w:rsidRPr="00AD5F47">
        <w:rPr>
          <w:rFonts w:ascii="Times New Roman" w:hAnsi="Times New Roman" w:cs="Times New Roman"/>
          <w:sz w:val="24"/>
          <w:szCs w:val="24"/>
        </w:rPr>
        <w:t xml:space="preserve"> delimiten con claridad los alcances </w:t>
      </w:r>
      <w:r>
        <w:rPr>
          <w:rFonts w:ascii="Times New Roman" w:hAnsi="Times New Roman" w:cs="Times New Roman"/>
          <w:sz w:val="24"/>
          <w:szCs w:val="24"/>
        </w:rPr>
        <w:t>de la jurisprudencia obligatoria, en tanto de prevenir la imposición de requisitos</w:t>
      </w:r>
      <w:r w:rsidRPr="00AD5F47">
        <w:rPr>
          <w:rFonts w:ascii="Times New Roman" w:hAnsi="Times New Roman" w:cs="Times New Roman"/>
          <w:sz w:val="24"/>
          <w:szCs w:val="24"/>
        </w:rPr>
        <w:t xml:space="preserve"> procesales que restrinjan el acceso </w:t>
      </w:r>
      <w:r>
        <w:rPr>
          <w:rFonts w:ascii="Times New Roman" w:hAnsi="Times New Roman" w:cs="Times New Roman"/>
          <w:sz w:val="24"/>
          <w:szCs w:val="24"/>
        </w:rPr>
        <w:t>a los recursos</w:t>
      </w:r>
      <w:r w:rsidRPr="00AD5F47">
        <w:rPr>
          <w:rFonts w:ascii="Times New Roman" w:hAnsi="Times New Roman" w:cs="Times New Roman"/>
          <w:sz w:val="24"/>
          <w:szCs w:val="24"/>
        </w:rPr>
        <w:t>, sin base normativa expresa. Asimismo, debe fortalecerse el control constitucional respecto a la creación de jurisprudencia obligatoria, garantizando que no se infrinjan competencias ni se adopten disposiciones que, bajo apariencia de interpretación, introduzcan normas contrarias a</w:t>
      </w:r>
      <w:r w:rsidR="001E1C77">
        <w:rPr>
          <w:rFonts w:ascii="Times New Roman" w:hAnsi="Times New Roman" w:cs="Times New Roman"/>
          <w:sz w:val="24"/>
          <w:szCs w:val="24"/>
        </w:rPr>
        <w:t xml:space="preserve"> la Constitución de la </w:t>
      </w:r>
      <w:r w:rsidR="00A8203F">
        <w:rPr>
          <w:rFonts w:ascii="Times New Roman" w:hAnsi="Times New Roman" w:cs="Times New Roman"/>
          <w:sz w:val="24"/>
          <w:szCs w:val="24"/>
        </w:rPr>
        <w:t>República.</w:t>
      </w:r>
      <w:r w:rsidRPr="00AD5F47">
        <w:rPr>
          <w:rFonts w:ascii="Times New Roman" w:hAnsi="Times New Roman" w:cs="Times New Roman"/>
          <w:sz w:val="24"/>
          <w:szCs w:val="24"/>
        </w:rPr>
        <w:t xml:space="preserve"> </w:t>
      </w:r>
    </w:p>
    <w:p w14:paraId="5C1B86F0" w14:textId="36BB14EC" w:rsidR="001707E6" w:rsidRDefault="005E3BC9" w:rsidP="00B21A77">
      <w:pPr>
        <w:spacing w:line="360" w:lineRule="auto"/>
        <w:jc w:val="center"/>
        <w:rPr>
          <w:rFonts w:ascii="Times New Roman" w:eastAsia="Times New Roman" w:hAnsi="Times New Roman" w:cs="Times New Roman"/>
          <w:b/>
          <w:bCs/>
          <w:sz w:val="28"/>
          <w:szCs w:val="28"/>
          <w:lang w:eastAsia="es-EC"/>
        </w:rPr>
      </w:pPr>
      <w:r>
        <w:rPr>
          <w:rFonts w:ascii="Times New Roman" w:eastAsia="Times New Roman" w:hAnsi="Times New Roman" w:cs="Times New Roman"/>
          <w:b/>
          <w:bCs/>
          <w:sz w:val="28"/>
          <w:szCs w:val="28"/>
          <w:lang w:eastAsia="es-EC"/>
        </w:rPr>
        <w:t>R</w:t>
      </w:r>
      <w:r w:rsidRPr="005E3BC9">
        <w:rPr>
          <w:rFonts w:ascii="Times New Roman" w:eastAsia="Times New Roman" w:hAnsi="Times New Roman" w:cs="Times New Roman"/>
          <w:b/>
          <w:bCs/>
          <w:sz w:val="28"/>
          <w:szCs w:val="28"/>
          <w:lang w:eastAsia="es-EC"/>
        </w:rPr>
        <w:t>eferencias bibliográficas</w:t>
      </w:r>
    </w:p>
    <w:p w14:paraId="2EEB8AFD" w14:textId="516C4A38" w:rsidR="00D41903" w:rsidRDefault="00D41903" w:rsidP="00B21A77">
      <w:pPr>
        <w:spacing w:line="360" w:lineRule="auto"/>
        <w:ind w:left="720" w:hanging="720"/>
        <w:jc w:val="both"/>
        <w:rPr>
          <w:rFonts w:ascii="Times New Roman" w:hAnsi="Times New Roman" w:cs="Times New Roman"/>
          <w:sz w:val="24"/>
          <w:szCs w:val="24"/>
        </w:rPr>
      </w:pPr>
      <w:bookmarkStart w:id="9" w:name="_Hlk111216120"/>
      <w:r w:rsidRPr="00D41903">
        <w:rPr>
          <w:rFonts w:ascii="Times New Roman" w:hAnsi="Times New Roman" w:cs="Times New Roman"/>
          <w:sz w:val="24"/>
          <w:szCs w:val="24"/>
        </w:rPr>
        <w:t>Constitución de la República del Ecuador (2008). Corporación de Estudios y Publicaciones.</w:t>
      </w:r>
    </w:p>
    <w:p w14:paraId="37FEC12E" w14:textId="575B53ED" w:rsidR="00D41903" w:rsidRDefault="00D41903" w:rsidP="00B21A77">
      <w:pPr>
        <w:spacing w:line="360" w:lineRule="auto"/>
        <w:ind w:left="720" w:hanging="720"/>
        <w:jc w:val="both"/>
        <w:rPr>
          <w:rFonts w:ascii="Times New Roman" w:hAnsi="Times New Roman" w:cs="Times New Roman"/>
          <w:sz w:val="24"/>
          <w:szCs w:val="24"/>
        </w:rPr>
      </w:pPr>
      <w:r w:rsidRPr="00D41903">
        <w:rPr>
          <w:rFonts w:ascii="Times New Roman" w:hAnsi="Times New Roman" w:cs="Times New Roman"/>
          <w:sz w:val="24"/>
          <w:szCs w:val="24"/>
        </w:rPr>
        <w:t>Código Orgánico Integral Penal (2024) Corporación de Estudios y Publicaciones</w:t>
      </w:r>
      <w:r w:rsidR="007604A7">
        <w:rPr>
          <w:rFonts w:ascii="Times New Roman" w:hAnsi="Times New Roman" w:cs="Times New Roman"/>
          <w:sz w:val="24"/>
          <w:szCs w:val="24"/>
        </w:rPr>
        <w:t>.</w:t>
      </w:r>
    </w:p>
    <w:p w14:paraId="225B1D62" w14:textId="0194ADD5" w:rsidR="00C63827" w:rsidRDefault="00D41903" w:rsidP="00B21A77">
      <w:pPr>
        <w:spacing w:line="360" w:lineRule="auto"/>
        <w:ind w:left="720" w:hanging="720"/>
        <w:jc w:val="both"/>
        <w:rPr>
          <w:rFonts w:ascii="Times New Roman" w:hAnsi="Times New Roman" w:cs="Times New Roman"/>
          <w:sz w:val="24"/>
          <w:szCs w:val="24"/>
        </w:rPr>
      </w:pPr>
      <w:r w:rsidRPr="00D41903">
        <w:rPr>
          <w:rFonts w:ascii="Times New Roman" w:hAnsi="Times New Roman" w:cs="Times New Roman"/>
          <w:sz w:val="24"/>
          <w:szCs w:val="24"/>
        </w:rPr>
        <w:t>Sentencia</w:t>
      </w:r>
      <w:r w:rsidR="00AF703F">
        <w:rPr>
          <w:rFonts w:ascii="Times New Roman" w:hAnsi="Times New Roman" w:cs="Times New Roman"/>
          <w:sz w:val="24"/>
          <w:szCs w:val="24"/>
        </w:rPr>
        <w:t xml:space="preserve"> No.</w:t>
      </w:r>
      <w:r w:rsidRPr="00D41903">
        <w:rPr>
          <w:rFonts w:ascii="Times New Roman" w:hAnsi="Times New Roman" w:cs="Times New Roman"/>
          <w:sz w:val="24"/>
          <w:szCs w:val="24"/>
        </w:rPr>
        <w:t xml:space="preserve"> 819/IN (2012)</w:t>
      </w:r>
      <w:r w:rsidR="007604A7">
        <w:rPr>
          <w:rFonts w:ascii="Times New Roman" w:hAnsi="Times New Roman" w:cs="Times New Roman"/>
          <w:sz w:val="24"/>
          <w:szCs w:val="24"/>
        </w:rPr>
        <w:t>.</w:t>
      </w:r>
      <w:r w:rsidR="00C63827" w:rsidRPr="00C63827">
        <w:t xml:space="preserve"> </w:t>
      </w:r>
      <w:r w:rsidR="00C63827" w:rsidRPr="00C63827">
        <w:rPr>
          <w:rFonts w:ascii="Times New Roman" w:hAnsi="Times New Roman" w:cs="Times New Roman"/>
          <w:sz w:val="24"/>
          <w:szCs w:val="24"/>
        </w:rPr>
        <w:t>https://www.corteconstitucional.gob.ec/sentencia-8-19-in-21/</w:t>
      </w:r>
    </w:p>
    <w:p w14:paraId="1D1B4A85" w14:textId="6D31962D" w:rsidR="00D41903" w:rsidRPr="007604A7" w:rsidRDefault="007604A7" w:rsidP="00B21A77">
      <w:pPr>
        <w:spacing w:line="360" w:lineRule="auto"/>
        <w:ind w:left="720" w:hanging="720"/>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 xml:space="preserve"> </w:t>
      </w:r>
      <w:r w:rsidR="00D41903" w:rsidRPr="00D41903">
        <w:rPr>
          <w:rFonts w:ascii="Times New Roman" w:hAnsi="Times New Roman" w:cs="Times New Roman"/>
          <w:sz w:val="24"/>
          <w:szCs w:val="24"/>
        </w:rPr>
        <w:t xml:space="preserve">Corte Nacional de Justicia, Resolución 10-2015 </w:t>
      </w:r>
      <w:hyperlink r:id="rId23" w:history="1">
        <w:r w:rsidRPr="007604A7">
          <w:rPr>
            <w:rStyle w:val="Hipervnculo"/>
            <w:rFonts w:ascii="Times New Roman" w:hAnsi="Times New Roman" w:cs="Times New Roman"/>
            <w:color w:val="auto"/>
            <w:sz w:val="24"/>
            <w:szCs w:val="24"/>
            <w:u w:val="none"/>
          </w:rPr>
          <w:t>https://www.cortenacional.gob.ec/cnj/images/pdf/resoluciones_obligatorias/2015/1510%20Triple%20reiteracion%20Admisibilidad%20del%20recurso%20de%20casacion%20penal.pdf´</w:t>
        </w:r>
      </w:hyperlink>
    </w:p>
    <w:p w14:paraId="0D6A2CEE" w14:textId="77777777" w:rsidR="00231629" w:rsidRPr="00D41903" w:rsidRDefault="00231629" w:rsidP="00B21A77">
      <w:pPr>
        <w:spacing w:line="360" w:lineRule="auto"/>
        <w:ind w:left="720" w:hanging="720"/>
        <w:jc w:val="both"/>
        <w:rPr>
          <w:rFonts w:ascii="Times New Roman" w:hAnsi="Times New Roman" w:cs="Times New Roman"/>
          <w:sz w:val="24"/>
          <w:szCs w:val="24"/>
        </w:rPr>
      </w:pPr>
    </w:p>
    <w:p w14:paraId="038219DB" w14:textId="1DE6808C" w:rsidR="00D41903" w:rsidRDefault="00D41903" w:rsidP="00B21A77">
      <w:pPr>
        <w:pStyle w:val="Default"/>
        <w:spacing w:line="360" w:lineRule="auto"/>
        <w:ind w:left="720" w:hanging="720"/>
        <w:jc w:val="both"/>
        <w:rPr>
          <w:rStyle w:val="Hipervnculo"/>
          <w:bCs/>
          <w:iCs/>
          <w:color w:val="auto"/>
          <w:u w:val="none"/>
        </w:rPr>
      </w:pPr>
      <w:r w:rsidRPr="00D41903">
        <w:rPr>
          <w:bCs/>
          <w:iCs/>
        </w:rPr>
        <w:t>Corte Nacional de Justicia. (2013) El recurso de casación en el estado constitucional de derechos y justicia.</w:t>
      </w:r>
      <w:r w:rsidR="007604A7">
        <w:rPr>
          <w:bCs/>
          <w:iCs/>
        </w:rPr>
        <w:t xml:space="preserve"> </w:t>
      </w:r>
      <w:hyperlink r:id="rId24" w:history="1">
        <w:r w:rsidR="007604A7" w:rsidRPr="007604A7">
          <w:rPr>
            <w:rStyle w:val="Hipervnculo"/>
            <w:bCs/>
            <w:iCs/>
            <w:color w:val="auto"/>
            <w:u w:val="none"/>
          </w:rPr>
          <w:t>https://www.cortenacional.gob.ec/cnj/images/Produccion_CNJ/aportes%20juridicos/Recurso.pdf</w:t>
        </w:r>
      </w:hyperlink>
    </w:p>
    <w:p w14:paraId="5E4C7386" w14:textId="47C0B1D3" w:rsidR="000C56A8" w:rsidRPr="000C4C3A" w:rsidRDefault="000C56A8" w:rsidP="00B21A77">
      <w:pPr>
        <w:pStyle w:val="Default"/>
        <w:spacing w:line="360" w:lineRule="auto"/>
        <w:ind w:left="720" w:hanging="720"/>
        <w:jc w:val="both"/>
        <w:rPr>
          <w:rStyle w:val="Hipervnculo"/>
          <w:bCs/>
          <w:iCs/>
          <w:color w:val="auto"/>
          <w:u w:val="none"/>
        </w:rPr>
      </w:pPr>
      <w:r w:rsidRPr="000C4C3A">
        <w:rPr>
          <w:rStyle w:val="Hipervnculo"/>
          <w:bCs/>
          <w:iCs/>
          <w:color w:val="auto"/>
          <w:u w:val="none"/>
        </w:rPr>
        <w:t xml:space="preserve">Corte Interamericana de Derechos Humanos. Caso Herrera Ulloa Vs. Costa Rica. (2004) </w:t>
      </w:r>
      <w:hyperlink r:id="rId25" w:history="1">
        <w:r w:rsidRPr="000C4C3A">
          <w:rPr>
            <w:rStyle w:val="Hipervnculo"/>
            <w:bCs/>
            <w:iCs/>
            <w:color w:val="auto"/>
          </w:rPr>
          <w:t>https://www.corteidh.or.cr/docs/casos/articulos/seriec_107_esp.pdf</w:t>
        </w:r>
      </w:hyperlink>
    </w:p>
    <w:p w14:paraId="3344411A" w14:textId="067AB0F5" w:rsidR="000C56A8" w:rsidRPr="000C4C3A" w:rsidRDefault="000C4C3A" w:rsidP="00B21A77">
      <w:pPr>
        <w:pStyle w:val="Default"/>
        <w:spacing w:line="360" w:lineRule="auto"/>
        <w:ind w:left="720" w:hanging="720"/>
        <w:jc w:val="both"/>
        <w:rPr>
          <w:rStyle w:val="Hipervnculo"/>
          <w:bCs/>
          <w:iCs/>
          <w:color w:val="auto"/>
          <w:u w:val="none"/>
        </w:rPr>
      </w:pPr>
      <w:r w:rsidRPr="000C4C3A">
        <w:rPr>
          <w:rStyle w:val="Hipervnculo"/>
          <w:bCs/>
          <w:iCs/>
          <w:color w:val="auto"/>
          <w:u w:val="none"/>
        </w:rPr>
        <w:t>Convención</w:t>
      </w:r>
      <w:r w:rsidR="000C56A8" w:rsidRPr="000C4C3A">
        <w:rPr>
          <w:rStyle w:val="Hipervnculo"/>
          <w:bCs/>
          <w:iCs/>
          <w:color w:val="auto"/>
          <w:u w:val="none"/>
        </w:rPr>
        <w:t xml:space="preserve"> Americana sobre los Derechos Humanos. 1978. </w:t>
      </w:r>
      <w:r w:rsidRPr="000C4C3A">
        <w:rPr>
          <w:rStyle w:val="Hipervnculo"/>
          <w:bCs/>
          <w:iCs/>
          <w:color w:val="auto"/>
          <w:u w:val="none"/>
        </w:rPr>
        <w:t>https://www.oas.org/dil/esp/1969_Convenci%C3%B3n_Americana_sobre_Derechos_Humanos.pdf</w:t>
      </w:r>
    </w:p>
    <w:p w14:paraId="2E103E0D" w14:textId="2245BAD1" w:rsidR="00D41903" w:rsidRPr="007604A7" w:rsidRDefault="00D41903" w:rsidP="00B21A77">
      <w:pPr>
        <w:pStyle w:val="Default"/>
        <w:spacing w:line="360" w:lineRule="auto"/>
        <w:ind w:left="720" w:hanging="720"/>
        <w:jc w:val="both"/>
        <w:rPr>
          <w:rStyle w:val="Hipervnculo"/>
          <w:bCs/>
          <w:iCs/>
          <w:color w:val="auto"/>
          <w:u w:val="none"/>
        </w:rPr>
      </w:pPr>
      <w:r w:rsidRPr="00D41903">
        <w:rPr>
          <w:bCs/>
          <w:iCs/>
        </w:rPr>
        <w:t xml:space="preserve">Cruz Ponce, E.E (2023) El </w:t>
      </w:r>
      <w:r w:rsidRPr="00D41903">
        <w:rPr>
          <w:bCs/>
          <w:i/>
        </w:rPr>
        <w:t>recurso de casación penal y sus limitaciones en relación al derecho a recurrir en el Ecuador</w:t>
      </w:r>
      <w:r w:rsidRPr="00D41903">
        <w:rPr>
          <w:bCs/>
          <w:iCs/>
        </w:rPr>
        <w:t xml:space="preserve">. </w:t>
      </w:r>
      <w:r w:rsidRPr="00D41903">
        <w:t>Tesis (Maestría en Derecho Procesal). Universidad Andina Simón Bolívar</w:t>
      </w:r>
      <w:r w:rsidRPr="00D41903">
        <w:rPr>
          <w:rStyle w:val="Hipervnculo"/>
          <w:bCs/>
          <w:iCs/>
          <w:color w:val="auto"/>
        </w:rPr>
        <w:t xml:space="preserve"> </w:t>
      </w:r>
      <w:hyperlink r:id="rId26" w:history="1">
        <w:r w:rsidR="007604A7" w:rsidRPr="007604A7">
          <w:rPr>
            <w:rStyle w:val="Hipervnculo"/>
            <w:bCs/>
            <w:iCs/>
            <w:color w:val="auto"/>
            <w:u w:val="none"/>
          </w:rPr>
          <w:t>https://repositorio.uasb.edu.ec/handle/10644/9790</w:t>
        </w:r>
      </w:hyperlink>
    </w:p>
    <w:p w14:paraId="096011DF" w14:textId="56ABCEDB" w:rsidR="00D41903" w:rsidRPr="007604A7" w:rsidRDefault="00D41903" w:rsidP="00B21A77">
      <w:pPr>
        <w:spacing w:line="360" w:lineRule="auto"/>
        <w:ind w:left="720" w:hanging="720"/>
        <w:rPr>
          <w:rStyle w:val="Hipervnculo"/>
          <w:rFonts w:ascii="Times New Roman" w:hAnsi="Times New Roman" w:cs="Times New Roman"/>
          <w:color w:val="auto"/>
          <w:sz w:val="24"/>
          <w:szCs w:val="24"/>
          <w:u w:val="none"/>
        </w:rPr>
      </w:pPr>
      <w:r w:rsidRPr="00D41903">
        <w:rPr>
          <w:rFonts w:ascii="Times New Roman" w:hAnsi="Times New Roman" w:cs="Times New Roman"/>
          <w:sz w:val="24"/>
          <w:szCs w:val="24"/>
        </w:rPr>
        <w:t xml:space="preserve">Díaz Altamirano, L. X. (2022) </w:t>
      </w:r>
      <w:r w:rsidRPr="00D41903">
        <w:rPr>
          <w:rFonts w:ascii="Times New Roman" w:hAnsi="Times New Roman" w:cs="Times New Roman"/>
          <w:i/>
          <w:sz w:val="24"/>
          <w:szCs w:val="24"/>
        </w:rPr>
        <w:t>Inconstitucionalidad de la Resolución 10-2015 de la Corte Nacional de Justicia que limita la Admisibilidad del Recurso de Casación</w:t>
      </w:r>
      <w:r w:rsidRPr="00D41903">
        <w:rPr>
          <w:rFonts w:ascii="Times New Roman" w:hAnsi="Times New Roman" w:cs="Times New Roman"/>
          <w:sz w:val="24"/>
          <w:szCs w:val="24"/>
        </w:rPr>
        <w:t xml:space="preserve">. </w:t>
      </w:r>
      <w:hyperlink r:id="rId27" w:history="1">
        <w:r w:rsidR="007604A7" w:rsidRPr="007604A7">
          <w:rPr>
            <w:rStyle w:val="Hipervnculo"/>
            <w:rFonts w:ascii="Times New Roman" w:hAnsi="Times New Roman" w:cs="Times New Roman"/>
            <w:color w:val="auto"/>
            <w:sz w:val="24"/>
            <w:szCs w:val="24"/>
            <w:u w:val="none"/>
          </w:rPr>
          <w:t>https://repositorio.uotavalo.edu.ec/items/c53282c8-6065-44f0-87e3-2c960d144745/full</w:t>
        </w:r>
      </w:hyperlink>
    </w:p>
    <w:p w14:paraId="4C12434A" w14:textId="182B9601" w:rsidR="00D41903" w:rsidRDefault="00D41903" w:rsidP="00B21A77">
      <w:pPr>
        <w:spacing w:line="360" w:lineRule="auto"/>
        <w:ind w:left="720" w:hanging="720"/>
        <w:jc w:val="both"/>
        <w:rPr>
          <w:rStyle w:val="Hipervnculo"/>
          <w:rFonts w:ascii="Times New Roman" w:hAnsi="Times New Roman" w:cs="Times New Roman"/>
          <w:color w:val="auto"/>
          <w:sz w:val="24"/>
          <w:szCs w:val="24"/>
          <w:u w:val="none"/>
        </w:rPr>
      </w:pPr>
      <w:r w:rsidRPr="00D41903">
        <w:rPr>
          <w:rFonts w:ascii="Times New Roman" w:hAnsi="Times New Roman" w:cs="Times New Roman"/>
          <w:sz w:val="24"/>
          <w:szCs w:val="24"/>
        </w:rPr>
        <w:t xml:space="preserve">Garcés Cevallos, Luz Paulina. (2015) </w:t>
      </w:r>
      <w:r w:rsidRPr="00D41903">
        <w:rPr>
          <w:rFonts w:ascii="Times New Roman" w:hAnsi="Times New Roman" w:cs="Times New Roman"/>
          <w:i/>
          <w:iCs/>
          <w:sz w:val="24"/>
          <w:szCs w:val="24"/>
        </w:rPr>
        <w:t>El recurso de casación en materia penal</w:t>
      </w:r>
      <w:r w:rsidRPr="00D41903">
        <w:rPr>
          <w:rFonts w:ascii="Times New Roman" w:hAnsi="Times New Roman" w:cs="Times New Roman"/>
          <w:sz w:val="24"/>
          <w:szCs w:val="24"/>
        </w:rPr>
        <w:t xml:space="preserve">. Tesis (Maestría en Derecho Procesal). Universidad Andina Simón Bolívar, Sede Ecuador. Área de Derecho. </w:t>
      </w:r>
      <w:hyperlink r:id="rId28" w:history="1">
        <w:r w:rsidRPr="007604A7">
          <w:rPr>
            <w:rStyle w:val="Hipervnculo"/>
            <w:rFonts w:ascii="Times New Roman" w:hAnsi="Times New Roman" w:cs="Times New Roman"/>
            <w:color w:val="auto"/>
            <w:sz w:val="24"/>
            <w:szCs w:val="24"/>
            <w:u w:val="none"/>
          </w:rPr>
          <w:t>https://repositorio.uasb.edu.ec/handle/10644/4639</w:t>
        </w:r>
      </w:hyperlink>
    </w:p>
    <w:p w14:paraId="3176AAD5" w14:textId="022F3408" w:rsidR="00D41903" w:rsidRPr="007604A7" w:rsidRDefault="00D41903" w:rsidP="00B21A77">
      <w:pPr>
        <w:pStyle w:val="Default"/>
        <w:spacing w:line="360" w:lineRule="auto"/>
        <w:ind w:left="720" w:hanging="720"/>
        <w:jc w:val="both"/>
        <w:rPr>
          <w:bCs/>
          <w:iCs/>
          <w:color w:val="auto"/>
        </w:rPr>
      </w:pPr>
      <w:r w:rsidRPr="00D41903">
        <w:rPr>
          <w:bCs/>
          <w:iCs/>
        </w:rPr>
        <w:t>Moreno Lascano, J.A (2019),</w:t>
      </w:r>
      <w:r w:rsidRPr="00D41903">
        <w:rPr>
          <w:bCs/>
          <w:i/>
        </w:rPr>
        <w:t xml:space="preserve"> El auto de admisibilidad del recurso de casación en materia penal y los derechos y principios de los sujetos procesales de la infracción penal</w:t>
      </w:r>
      <w:r w:rsidRPr="00D41903">
        <w:rPr>
          <w:bCs/>
          <w:iCs/>
        </w:rPr>
        <w:t>.</w:t>
      </w:r>
      <w:r w:rsidRPr="00D41903">
        <w:t xml:space="preserve"> Tesis (Maestría en Derecho Procesal Penal).  </w:t>
      </w:r>
      <w:hyperlink r:id="rId29" w:history="1">
        <w:r w:rsidR="007604A7" w:rsidRPr="007604A7">
          <w:rPr>
            <w:rStyle w:val="Hipervnculo"/>
            <w:bCs/>
            <w:iCs/>
            <w:color w:val="auto"/>
            <w:u w:val="none"/>
          </w:rPr>
          <w:t>https://dspace.uniandes.edu.ec/handle/123456789/11046</w:t>
        </w:r>
      </w:hyperlink>
    </w:p>
    <w:p w14:paraId="63C3695D" w14:textId="67EBBB65" w:rsidR="00D41903" w:rsidRDefault="00D41903" w:rsidP="00B21A77">
      <w:pPr>
        <w:spacing w:line="360" w:lineRule="auto"/>
        <w:ind w:left="720" w:hanging="720"/>
        <w:jc w:val="both"/>
        <w:rPr>
          <w:rFonts w:ascii="Times New Roman" w:hAnsi="Times New Roman" w:cs="Times New Roman"/>
          <w:sz w:val="24"/>
          <w:szCs w:val="24"/>
        </w:rPr>
      </w:pPr>
      <w:r w:rsidRPr="00D41903">
        <w:rPr>
          <w:rFonts w:ascii="Times New Roman" w:hAnsi="Times New Roman" w:cs="Times New Roman"/>
          <w:sz w:val="24"/>
          <w:szCs w:val="24"/>
        </w:rPr>
        <w:t xml:space="preserve">Ojeda, A. (2015). </w:t>
      </w:r>
      <w:r w:rsidRPr="00D41903">
        <w:rPr>
          <w:rFonts w:ascii="Times New Roman" w:hAnsi="Times New Roman" w:cs="Times New Roman"/>
          <w:i/>
          <w:iCs/>
          <w:sz w:val="24"/>
          <w:szCs w:val="24"/>
        </w:rPr>
        <w:t>El recurso de Casación en materia penal. Ecuador. Pacto Internacional de los Derechos Civiles y Políticos</w:t>
      </w:r>
      <w:r w:rsidRPr="00D41903">
        <w:rPr>
          <w:rFonts w:ascii="Times New Roman" w:hAnsi="Times New Roman" w:cs="Times New Roman"/>
          <w:sz w:val="24"/>
          <w:szCs w:val="24"/>
        </w:rPr>
        <w:t xml:space="preserve"> (1966), Resolución 2200 A (XXI).</w:t>
      </w:r>
    </w:p>
    <w:p w14:paraId="5AAE01F4" w14:textId="3CE61394" w:rsidR="00D41903" w:rsidRDefault="00D41903" w:rsidP="00B21A77">
      <w:pPr>
        <w:spacing w:line="360" w:lineRule="auto"/>
        <w:ind w:left="720" w:hanging="720"/>
        <w:jc w:val="both"/>
        <w:rPr>
          <w:rFonts w:ascii="Times New Roman" w:hAnsi="Times New Roman" w:cs="Times New Roman"/>
          <w:sz w:val="24"/>
          <w:szCs w:val="24"/>
        </w:rPr>
      </w:pPr>
      <w:proofErr w:type="spellStart"/>
      <w:r w:rsidRPr="00D41903">
        <w:rPr>
          <w:rFonts w:ascii="Times New Roman" w:hAnsi="Times New Roman" w:cs="Times New Roman"/>
          <w:sz w:val="24"/>
          <w:szCs w:val="24"/>
        </w:rPr>
        <w:t>Pachama</w:t>
      </w:r>
      <w:proofErr w:type="spellEnd"/>
      <w:r w:rsidRPr="00D41903">
        <w:rPr>
          <w:rFonts w:ascii="Times New Roman" w:hAnsi="Times New Roman" w:cs="Times New Roman"/>
          <w:sz w:val="24"/>
          <w:szCs w:val="24"/>
        </w:rPr>
        <w:t xml:space="preserve"> Nieto, R.Z. (2017) </w:t>
      </w:r>
      <w:r w:rsidRPr="00D41903">
        <w:rPr>
          <w:rFonts w:ascii="Times New Roman" w:hAnsi="Times New Roman" w:cs="Times New Roman"/>
          <w:i/>
          <w:iCs/>
          <w:sz w:val="24"/>
          <w:szCs w:val="24"/>
        </w:rPr>
        <w:t>La inadmisibilidad del recurso de casación penal en el Ecuador, y tutela judicial efectiva.</w:t>
      </w:r>
      <w:r w:rsidRPr="00D41903">
        <w:rPr>
          <w:rFonts w:ascii="Times New Roman" w:hAnsi="Times New Roman" w:cs="Times New Roman"/>
          <w:sz w:val="24"/>
          <w:szCs w:val="24"/>
        </w:rPr>
        <w:t xml:space="preserve"> Tesis (Maestría en Derecho Procesal). Universidad Andina Simón Bolívar </w:t>
      </w:r>
      <w:hyperlink r:id="rId30" w:history="1">
        <w:r w:rsidR="007604A7" w:rsidRPr="007604A7">
          <w:rPr>
            <w:rStyle w:val="Hipervnculo"/>
            <w:rFonts w:ascii="Times New Roman" w:hAnsi="Times New Roman" w:cs="Times New Roman"/>
            <w:color w:val="auto"/>
            <w:sz w:val="24"/>
            <w:szCs w:val="24"/>
            <w:u w:val="none"/>
          </w:rPr>
          <w:t>https://dspace.uniandes.edu.ec/handle/123456789/7236</w:t>
        </w:r>
      </w:hyperlink>
    </w:p>
    <w:p w14:paraId="6A7E8F41" w14:textId="77777777" w:rsidR="007604A7" w:rsidRPr="00D41903" w:rsidRDefault="007604A7" w:rsidP="00B21A77">
      <w:pPr>
        <w:spacing w:line="360" w:lineRule="auto"/>
        <w:ind w:left="720" w:hanging="720"/>
        <w:jc w:val="both"/>
        <w:rPr>
          <w:rFonts w:ascii="Times New Roman" w:hAnsi="Times New Roman" w:cs="Times New Roman"/>
          <w:sz w:val="24"/>
          <w:szCs w:val="24"/>
        </w:rPr>
      </w:pPr>
    </w:p>
    <w:p w14:paraId="7EC8B909" w14:textId="251D53B2" w:rsidR="00D41903" w:rsidRPr="007604A7" w:rsidRDefault="00D41903" w:rsidP="00B21A77">
      <w:pPr>
        <w:spacing w:line="360" w:lineRule="auto"/>
        <w:ind w:left="720" w:hanging="720"/>
        <w:jc w:val="both"/>
        <w:rPr>
          <w:rStyle w:val="Hipervnculo"/>
          <w:rFonts w:ascii="Times New Roman" w:hAnsi="Times New Roman" w:cs="Times New Roman"/>
          <w:bCs/>
          <w:color w:val="auto"/>
          <w:sz w:val="24"/>
          <w:szCs w:val="24"/>
          <w:u w:val="none"/>
          <w:shd w:val="clear" w:color="auto" w:fill="FFFFFF"/>
        </w:rPr>
      </w:pPr>
      <w:r w:rsidRPr="00D41903">
        <w:rPr>
          <w:rFonts w:ascii="Times New Roman" w:hAnsi="Times New Roman" w:cs="Times New Roman"/>
          <w:sz w:val="24"/>
          <w:szCs w:val="24"/>
        </w:rPr>
        <w:t xml:space="preserve">Proaño Tamayo., D. S.; </w:t>
      </w:r>
      <w:proofErr w:type="spellStart"/>
      <w:r w:rsidRPr="00D41903">
        <w:rPr>
          <w:rFonts w:ascii="Times New Roman" w:hAnsi="Times New Roman" w:cs="Times New Roman"/>
          <w:sz w:val="24"/>
          <w:szCs w:val="24"/>
        </w:rPr>
        <w:t>Coka</w:t>
      </w:r>
      <w:proofErr w:type="spellEnd"/>
      <w:r w:rsidRPr="00D41903">
        <w:rPr>
          <w:rFonts w:ascii="Times New Roman" w:hAnsi="Times New Roman" w:cs="Times New Roman"/>
          <w:sz w:val="24"/>
          <w:szCs w:val="24"/>
        </w:rPr>
        <w:t xml:space="preserve"> Flores, D.F; &amp;, </w:t>
      </w:r>
      <w:proofErr w:type="spellStart"/>
      <w:r w:rsidRPr="00D41903">
        <w:rPr>
          <w:rFonts w:ascii="Times New Roman" w:hAnsi="Times New Roman" w:cs="Times New Roman"/>
          <w:sz w:val="24"/>
          <w:szCs w:val="24"/>
        </w:rPr>
        <w:t>Chugá</w:t>
      </w:r>
      <w:proofErr w:type="spellEnd"/>
      <w:r w:rsidRPr="00D41903">
        <w:rPr>
          <w:rFonts w:ascii="Times New Roman" w:hAnsi="Times New Roman" w:cs="Times New Roman"/>
          <w:sz w:val="24"/>
          <w:szCs w:val="24"/>
        </w:rPr>
        <w:t xml:space="preserve"> </w:t>
      </w:r>
      <w:proofErr w:type="spellStart"/>
      <w:r w:rsidRPr="00D41903">
        <w:rPr>
          <w:rFonts w:ascii="Times New Roman" w:hAnsi="Times New Roman" w:cs="Times New Roman"/>
          <w:sz w:val="24"/>
          <w:szCs w:val="24"/>
        </w:rPr>
        <w:t>Quemac</w:t>
      </w:r>
      <w:proofErr w:type="spellEnd"/>
      <w:r w:rsidRPr="00D41903">
        <w:rPr>
          <w:rFonts w:ascii="Times New Roman" w:hAnsi="Times New Roman" w:cs="Times New Roman"/>
          <w:sz w:val="24"/>
          <w:szCs w:val="24"/>
        </w:rPr>
        <w:t xml:space="preserve"> R. E  (2021).</w:t>
      </w:r>
      <w:r w:rsidRPr="00D41903">
        <w:rPr>
          <w:rFonts w:ascii="Times New Roman" w:hAnsi="Times New Roman" w:cs="Times New Roman"/>
          <w:bCs/>
          <w:i/>
          <w:sz w:val="24"/>
          <w:szCs w:val="24"/>
          <w:shd w:val="clear" w:color="auto" w:fill="FFFFFF"/>
        </w:rPr>
        <w:t>Los recursos penales de impugnación en Ecuador.</w:t>
      </w:r>
      <w:r w:rsidRPr="00D41903">
        <w:rPr>
          <w:rFonts w:ascii="Times New Roman" w:hAnsi="Times New Roman" w:cs="Times New Roman"/>
          <w:sz w:val="24"/>
          <w:szCs w:val="24"/>
        </w:rPr>
        <w:t xml:space="preserve"> </w:t>
      </w:r>
      <w:hyperlink r:id="rId31" w:history="1">
        <w:r w:rsidRPr="007604A7">
          <w:rPr>
            <w:rStyle w:val="Hipervnculo"/>
            <w:rFonts w:ascii="Times New Roman" w:hAnsi="Times New Roman" w:cs="Times New Roman"/>
            <w:bCs/>
            <w:color w:val="auto"/>
            <w:sz w:val="24"/>
            <w:szCs w:val="24"/>
            <w:u w:val="none"/>
            <w:shd w:val="clear" w:color="auto" w:fill="FFFFFF"/>
          </w:rPr>
          <w:t>https://www.scielo.org.mx/pdf/dilemas/v9nspe1/2007-7890-dilemas-9-spe1-00077.pdf</w:t>
        </w:r>
      </w:hyperlink>
    </w:p>
    <w:p w14:paraId="24A1D8AD" w14:textId="6189E0AB" w:rsidR="00231629" w:rsidRDefault="00231629" w:rsidP="00B21A77">
      <w:pPr>
        <w:pStyle w:val="Default"/>
        <w:spacing w:line="360" w:lineRule="auto"/>
        <w:ind w:left="720" w:hanging="720"/>
        <w:jc w:val="both"/>
        <w:rPr>
          <w:color w:val="auto"/>
        </w:rPr>
      </w:pPr>
      <w:r w:rsidRPr="00231629">
        <w:t xml:space="preserve">Sentencia Corte Constitucional. CASO No. 2023-20-EP. </w:t>
      </w:r>
      <w:hyperlink r:id="rId32" w:history="1">
        <w:r w:rsidRPr="007604A7">
          <w:rPr>
            <w:rStyle w:val="Hipervnculo"/>
            <w:color w:val="auto"/>
            <w:u w:val="none"/>
          </w:rPr>
          <w:t>https://esacc.corteconstitucional.gob.ec/storage/api/v1/10_DWL_FL/e2NhcnBldGE6J3RyYW1pdGUnLCB1dWlkOic3YTNjMTc3MS02YzkwLTQzZmEtYTEyMS0zZmM4NmRmMjIxYjkucGRmJ30</w:t>
        </w:r>
      </w:hyperlink>
      <w:r w:rsidRPr="007604A7">
        <w:rPr>
          <w:color w:val="auto"/>
        </w:rPr>
        <w:t>=</w:t>
      </w:r>
    </w:p>
    <w:p w14:paraId="7DFF26AA" w14:textId="2DC563E9" w:rsidR="00231629" w:rsidRDefault="00231629" w:rsidP="00B21A77">
      <w:pPr>
        <w:pStyle w:val="Default"/>
        <w:spacing w:line="360" w:lineRule="auto"/>
        <w:ind w:left="720" w:hanging="720"/>
        <w:jc w:val="both"/>
        <w:rPr>
          <w:color w:val="auto"/>
        </w:rPr>
      </w:pPr>
      <w:r w:rsidRPr="00231629">
        <w:t xml:space="preserve">Sentencia Corte Constitucional CASO No. 2125-17-EP </w:t>
      </w:r>
      <w:hyperlink r:id="rId33" w:history="1">
        <w:r w:rsidRPr="007604A7">
          <w:rPr>
            <w:rStyle w:val="Hipervnculo"/>
            <w:color w:val="auto"/>
            <w:u w:val="none"/>
          </w:rPr>
          <w:t>https://esacc.corteconstitucional.gob.ec/storage/api/v1/10_DWL_FL/e2NhcnBldGE6J3RyYW1pdGUnLCB1dWlkOic0N2I4MmFhYy1iODA4LTRjMWEtODgwMy0xYTA4YTQzZjkxYTIucGRmJ30</w:t>
        </w:r>
      </w:hyperlink>
      <w:r w:rsidRPr="007604A7">
        <w:rPr>
          <w:color w:val="auto"/>
        </w:rPr>
        <w:t>=</w:t>
      </w:r>
    </w:p>
    <w:p w14:paraId="18BB1FD5" w14:textId="18F4091D" w:rsidR="00231629" w:rsidRDefault="00231629" w:rsidP="00B21A77">
      <w:pPr>
        <w:pStyle w:val="Default"/>
        <w:spacing w:line="360" w:lineRule="auto"/>
        <w:ind w:left="720" w:hanging="720"/>
        <w:jc w:val="both"/>
        <w:rPr>
          <w:rFonts w:eastAsia="Times New Roman"/>
          <w:bCs/>
          <w:color w:val="333333"/>
          <w:kern w:val="36"/>
          <w:lang w:eastAsia="es-EC"/>
        </w:rPr>
      </w:pPr>
      <w:r w:rsidRPr="00231629">
        <w:t>Sentencia Corte Constitucional</w:t>
      </w:r>
      <w:r w:rsidRPr="00231629">
        <w:rPr>
          <w:rFonts w:eastAsia="Times New Roman"/>
          <w:bCs/>
          <w:color w:val="333333"/>
          <w:kern w:val="36"/>
          <w:lang w:eastAsia="es-EC"/>
        </w:rPr>
        <w:t xml:space="preserve"> </w:t>
      </w:r>
      <w:r w:rsidRPr="00326414">
        <w:rPr>
          <w:rFonts w:eastAsia="Times New Roman"/>
          <w:bCs/>
          <w:color w:val="333333"/>
          <w:kern w:val="36"/>
          <w:lang w:eastAsia="es-EC"/>
        </w:rPr>
        <w:t>Caso No. 1919-17-EP</w:t>
      </w:r>
      <w:r w:rsidRPr="00231629">
        <w:rPr>
          <w:rFonts w:eastAsia="Times New Roman"/>
          <w:bCs/>
          <w:color w:val="333333"/>
          <w:kern w:val="36"/>
          <w:lang w:eastAsia="es-EC"/>
        </w:rPr>
        <w:t>https://esacc.corteconstitucional.gob.ec/storage/api/v1/10_DWL_FL/e2NhcnBldGE6J3RyYW1pdGUnLCB1dWlkOidlYThiZTU1MS02MGUwLTQ4NDYtYmRiMS1kMGMyMjkwZjE5ZGYucGRmJ30=</w:t>
      </w:r>
    </w:p>
    <w:p w14:paraId="2671459A" w14:textId="70D526DE" w:rsidR="00231629" w:rsidRDefault="00231629" w:rsidP="00B21A77">
      <w:pPr>
        <w:pStyle w:val="Default"/>
        <w:spacing w:line="360" w:lineRule="auto"/>
        <w:ind w:left="720" w:hanging="720"/>
        <w:jc w:val="both"/>
        <w:rPr>
          <w:color w:val="auto"/>
        </w:rPr>
      </w:pPr>
      <w:r w:rsidRPr="00231629">
        <w:t>Sentencia Corte Constitucional CASO No. 193-21-EP</w:t>
      </w:r>
      <w:r>
        <w:t xml:space="preserve"> </w:t>
      </w:r>
      <w:hyperlink r:id="rId34" w:history="1">
        <w:r w:rsidRPr="007604A7">
          <w:rPr>
            <w:rStyle w:val="Hipervnculo"/>
            <w:color w:val="auto"/>
            <w:u w:val="none"/>
          </w:rPr>
          <w:t>https://esacc.corteconstitucional.gob.ec/storage/api/v1/10_DWL_FL/e2NhcnBldGE6J3RyYW1pdGUnLCB1dWlkOidiNjAzZjU5Yi0yODY0LTQyNjktOTY4Yy0xOTI5ZjdlY2U0MDMucGRmJ30</w:t>
        </w:r>
      </w:hyperlink>
      <w:r w:rsidRPr="007604A7">
        <w:rPr>
          <w:color w:val="auto"/>
        </w:rPr>
        <w:t>=</w:t>
      </w:r>
    </w:p>
    <w:p w14:paraId="1B33D33D" w14:textId="25F338BD" w:rsidR="00231629" w:rsidRDefault="00231629" w:rsidP="00B21A77">
      <w:pPr>
        <w:pStyle w:val="Default"/>
        <w:spacing w:line="360" w:lineRule="auto"/>
        <w:ind w:left="720" w:hanging="720"/>
        <w:jc w:val="both"/>
      </w:pPr>
      <w:r w:rsidRPr="00231629">
        <w:t>Sentencia Corte Constitucional CASO 2890-19-EPhttps://esacc.corteconstitucional.gob.ec/storage/api/v1/10_DWL_FL/e2NhcnBldGE6J3RyYW1pdGUnLCB1dWlkOidlOTFmNzE4MC1lM2UyLTQxZjQtOTE2OS01ZmE5MGQxOTY5YjgucGRmJ30=</w:t>
      </w:r>
    </w:p>
    <w:p w14:paraId="536ECD11" w14:textId="5860F8C0" w:rsidR="00D41903" w:rsidRPr="007604A7" w:rsidRDefault="00D41903" w:rsidP="00B21A77">
      <w:pPr>
        <w:pStyle w:val="Default"/>
        <w:spacing w:line="360" w:lineRule="auto"/>
        <w:ind w:left="720" w:hanging="720"/>
        <w:jc w:val="both"/>
        <w:rPr>
          <w:rStyle w:val="Hipervnculo"/>
          <w:bCs/>
          <w:iCs/>
          <w:color w:val="auto"/>
          <w:u w:val="none"/>
        </w:rPr>
      </w:pPr>
      <w:r w:rsidRPr="00D41903">
        <w:t xml:space="preserve"> Verdugo Garate. G. A &amp;   Ramírez Velásquez, J. C (2022).</w:t>
      </w:r>
      <w:r w:rsidRPr="00D41903">
        <w:rPr>
          <w:bCs/>
          <w:i/>
          <w:iCs/>
        </w:rPr>
        <w:t xml:space="preserve"> Vulneración del derecho a la defensa en el procedimiento directo</w:t>
      </w:r>
      <w:r w:rsidRPr="007604A7">
        <w:rPr>
          <w:bCs/>
          <w:i/>
          <w:iCs/>
        </w:rPr>
        <w:t xml:space="preserve">. </w:t>
      </w:r>
      <w:hyperlink r:id="rId35" w:history="1">
        <w:r w:rsidRPr="007604A7">
          <w:rPr>
            <w:rStyle w:val="Hipervnculo"/>
            <w:bCs/>
            <w:iCs/>
            <w:color w:val="auto"/>
            <w:u w:val="none"/>
          </w:rPr>
          <w:t>https://goo.su/9cvdmlL</w:t>
        </w:r>
      </w:hyperlink>
    </w:p>
    <w:p w14:paraId="42309D9E" w14:textId="77777777" w:rsidR="00D41903" w:rsidRPr="00D41903" w:rsidRDefault="00D41903" w:rsidP="00B21A77">
      <w:pPr>
        <w:spacing w:line="360" w:lineRule="auto"/>
        <w:jc w:val="right"/>
        <w:rPr>
          <w:rFonts w:ascii="Times New Roman" w:eastAsia="Times New Roman" w:hAnsi="Times New Roman" w:cs="Times New Roman"/>
          <w:b/>
          <w:bCs/>
          <w:sz w:val="24"/>
          <w:szCs w:val="24"/>
          <w:lang w:eastAsia="es-EC"/>
        </w:rPr>
      </w:pPr>
    </w:p>
    <w:p w14:paraId="1E3A8BB0" w14:textId="678AEF3B" w:rsidR="00C276E8" w:rsidRDefault="00C276E8" w:rsidP="00B21A77">
      <w:pPr>
        <w:tabs>
          <w:tab w:val="left" w:pos="7260"/>
        </w:tabs>
        <w:spacing w:line="360" w:lineRule="auto"/>
        <w:rPr>
          <w:rFonts w:ascii="Times New Roman" w:eastAsia="Times New Roman" w:hAnsi="Times New Roman" w:cs="Times New Roman"/>
          <w:b/>
          <w:bCs/>
          <w:sz w:val="24"/>
          <w:szCs w:val="24"/>
          <w:lang w:eastAsia="es-EC"/>
        </w:rPr>
      </w:pPr>
    </w:p>
    <w:p w14:paraId="288A8BB2" w14:textId="77777777" w:rsidR="00DB77D8" w:rsidRDefault="00DB77D8" w:rsidP="00B21A77">
      <w:pPr>
        <w:spacing w:line="360" w:lineRule="auto"/>
        <w:jc w:val="right"/>
        <w:rPr>
          <w:rFonts w:ascii="Times New Roman" w:eastAsia="Times New Roman" w:hAnsi="Times New Roman" w:cs="Times New Roman"/>
          <w:b/>
          <w:bCs/>
          <w:sz w:val="24"/>
          <w:szCs w:val="24"/>
          <w:lang w:eastAsia="es-EC"/>
        </w:rPr>
      </w:pPr>
    </w:p>
    <w:p w14:paraId="24734954" w14:textId="77777777" w:rsidR="00DB77D8" w:rsidRDefault="00DB77D8" w:rsidP="00B21A77">
      <w:pPr>
        <w:spacing w:line="360" w:lineRule="auto"/>
        <w:jc w:val="right"/>
        <w:rPr>
          <w:rFonts w:ascii="Times New Roman" w:eastAsia="Times New Roman" w:hAnsi="Times New Roman" w:cs="Times New Roman"/>
          <w:b/>
          <w:bCs/>
          <w:sz w:val="24"/>
          <w:szCs w:val="24"/>
          <w:lang w:eastAsia="es-EC"/>
        </w:rPr>
      </w:pPr>
    </w:p>
    <w:p w14:paraId="288103B0" w14:textId="661DE8A7" w:rsidR="003960E9" w:rsidRPr="00D41903" w:rsidRDefault="003960E9" w:rsidP="00B21A77">
      <w:pPr>
        <w:spacing w:line="360" w:lineRule="auto"/>
        <w:jc w:val="right"/>
        <w:rPr>
          <w:rFonts w:ascii="Times New Roman" w:eastAsia="Times New Roman" w:hAnsi="Times New Roman" w:cs="Times New Roman"/>
          <w:b/>
          <w:bCs/>
          <w:sz w:val="24"/>
          <w:szCs w:val="24"/>
          <w:lang w:eastAsia="es-EC"/>
        </w:rPr>
      </w:pPr>
      <w:r w:rsidRPr="00D41903">
        <w:rPr>
          <w:rFonts w:ascii="Times New Roman" w:eastAsia="Times New Roman" w:hAnsi="Times New Roman" w:cs="Times New Roman"/>
          <w:b/>
          <w:bCs/>
          <w:sz w:val="24"/>
          <w:szCs w:val="24"/>
          <w:lang w:eastAsia="es-EC"/>
        </w:rPr>
        <w:t>Conflicto de intereses:</w:t>
      </w:r>
    </w:p>
    <w:p w14:paraId="110FDA40" w14:textId="2D44A383" w:rsidR="003960E9" w:rsidRPr="003960E9" w:rsidRDefault="003960E9" w:rsidP="00B21A77">
      <w:pPr>
        <w:spacing w:line="360" w:lineRule="auto"/>
        <w:jc w:val="right"/>
        <w:rPr>
          <w:rFonts w:ascii="Times New Roman" w:eastAsia="Times New Roman" w:hAnsi="Times New Roman" w:cs="Times New Roman"/>
          <w:sz w:val="24"/>
          <w:szCs w:val="24"/>
          <w:lang w:eastAsia="es-EC"/>
        </w:rPr>
      </w:pPr>
      <w:r w:rsidRPr="00D41903">
        <w:rPr>
          <w:rFonts w:ascii="Times New Roman" w:eastAsia="Times New Roman" w:hAnsi="Times New Roman" w:cs="Times New Roman"/>
          <w:sz w:val="24"/>
          <w:szCs w:val="24"/>
          <w:lang w:eastAsia="es-EC"/>
        </w:rPr>
        <w:t>Los autores</w:t>
      </w:r>
      <w:r w:rsidRPr="003960E9">
        <w:rPr>
          <w:rFonts w:ascii="Times New Roman" w:eastAsia="Times New Roman" w:hAnsi="Times New Roman" w:cs="Times New Roman"/>
          <w:sz w:val="24"/>
          <w:szCs w:val="24"/>
          <w:lang w:eastAsia="es-EC"/>
        </w:rPr>
        <w:t xml:space="preserve"> declaran que no existe</w:t>
      </w:r>
      <w:r w:rsidR="00683C7D">
        <w:rPr>
          <w:rFonts w:ascii="Times New Roman" w:eastAsia="Times New Roman" w:hAnsi="Times New Roman" w:cs="Times New Roman"/>
          <w:sz w:val="24"/>
          <w:szCs w:val="24"/>
          <w:lang w:eastAsia="es-EC"/>
        </w:rPr>
        <w:t xml:space="preserve"> </w:t>
      </w:r>
      <w:r w:rsidRPr="003960E9">
        <w:rPr>
          <w:rFonts w:ascii="Times New Roman" w:eastAsia="Times New Roman" w:hAnsi="Times New Roman" w:cs="Times New Roman"/>
          <w:sz w:val="24"/>
          <w:szCs w:val="24"/>
          <w:lang w:eastAsia="es-EC"/>
        </w:rPr>
        <w:t>conflicto de interés posible.</w:t>
      </w:r>
    </w:p>
    <w:p w14:paraId="283474A3" w14:textId="3D419ECC" w:rsidR="003960E9" w:rsidRPr="00683C7D" w:rsidRDefault="003960E9" w:rsidP="00B21A77">
      <w:pPr>
        <w:spacing w:line="360" w:lineRule="auto"/>
        <w:jc w:val="right"/>
        <w:rPr>
          <w:rFonts w:ascii="Times New Roman" w:eastAsia="Times New Roman" w:hAnsi="Times New Roman" w:cs="Times New Roman"/>
          <w:b/>
          <w:bCs/>
          <w:sz w:val="24"/>
          <w:szCs w:val="24"/>
          <w:lang w:eastAsia="es-EC"/>
        </w:rPr>
      </w:pPr>
      <w:r w:rsidRPr="00683C7D">
        <w:rPr>
          <w:rFonts w:ascii="Times New Roman" w:eastAsia="Times New Roman" w:hAnsi="Times New Roman" w:cs="Times New Roman"/>
          <w:b/>
          <w:bCs/>
          <w:sz w:val="24"/>
          <w:szCs w:val="24"/>
          <w:lang w:eastAsia="es-EC"/>
        </w:rPr>
        <w:t>Financiamiento</w:t>
      </w:r>
      <w:r w:rsidR="00683C7D" w:rsidRPr="00683C7D">
        <w:rPr>
          <w:rFonts w:ascii="Times New Roman" w:eastAsia="Times New Roman" w:hAnsi="Times New Roman" w:cs="Times New Roman"/>
          <w:b/>
          <w:bCs/>
          <w:sz w:val="24"/>
          <w:szCs w:val="24"/>
          <w:lang w:eastAsia="es-EC"/>
        </w:rPr>
        <w:t>:</w:t>
      </w:r>
    </w:p>
    <w:p w14:paraId="523120B8" w14:textId="59267BE3" w:rsidR="003960E9" w:rsidRPr="003960E9" w:rsidRDefault="003960E9" w:rsidP="00B21A77">
      <w:pPr>
        <w:spacing w:line="360" w:lineRule="auto"/>
        <w:jc w:val="right"/>
        <w:rPr>
          <w:rFonts w:ascii="Times New Roman" w:eastAsia="Times New Roman" w:hAnsi="Times New Roman" w:cs="Times New Roman"/>
          <w:sz w:val="24"/>
          <w:szCs w:val="24"/>
          <w:lang w:eastAsia="es-EC"/>
        </w:rPr>
      </w:pPr>
      <w:r w:rsidRPr="003960E9">
        <w:rPr>
          <w:rFonts w:ascii="Times New Roman" w:eastAsia="Times New Roman" w:hAnsi="Times New Roman" w:cs="Times New Roman"/>
          <w:sz w:val="24"/>
          <w:szCs w:val="24"/>
          <w:lang w:eastAsia="es-EC"/>
        </w:rPr>
        <w:t>No existió asistencia financiera de partes</w:t>
      </w:r>
      <w:r w:rsidR="00683C7D">
        <w:rPr>
          <w:rFonts w:ascii="Times New Roman" w:eastAsia="Times New Roman" w:hAnsi="Times New Roman" w:cs="Times New Roman"/>
          <w:sz w:val="24"/>
          <w:szCs w:val="24"/>
          <w:lang w:eastAsia="es-EC"/>
        </w:rPr>
        <w:t xml:space="preserve"> </w:t>
      </w:r>
      <w:r w:rsidRPr="003960E9">
        <w:rPr>
          <w:rFonts w:ascii="Times New Roman" w:eastAsia="Times New Roman" w:hAnsi="Times New Roman" w:cs="Times New Roman"/>
          <w:sz w:val="24"/>
          <w:szCs w:val="24"/>
          <w:lang w:eastAsia="es-EC"/>
        </w:rPr>
        <w:t>externas al presente artículo.</w:t>
      </w:r>
    </w:p>
    <w:p w14:paraId="307C52FB" w14:textId="77777777" w:rsidR="00BE0BA8" w:rsidRDefault="003960E9" w:rsidP="00B21A77">
      <w:pPr>
        <w:spacing w:line="360" w:lineRule="auto"/>
        <w:jc w:val="right"/>
        <w:rPr>
          <w:rFonts w:ascii="Times New Roman" w:eastAsia="Times New Roman" w:hAnsi="Times New Roman" w:cs="Times New Roman"/>
          <w:b/>
          <w:bCs/>
          <w:sz w:val="24"/>
          <w:szCs w:val="24"/>
          <w:lang w:eastAsia="es-EC"/>
        </w:rPr>
      </w:pPr>
      <w:r w:rsidRPr="00683C7D">
        <w:rPr>
          <w:rFonts w:ascii="Times New Roman" w:eastAsia="Times New Roman" w:hAnsi="Times New Roman" w:cs="Times New Roman"/>
          <w:b/>
          <w:bCs/>
          <w:sz w:val="24"/>
          <w:szCs w:val="24"/>
          <w:lang w:eastAsia="es-EC"/>
        </w:rPr>
        <w:t>Agradecimiento</w:t>
      </w:r>
      <w:r w:rsidR="00683C7D" w:rsidRPr="00683C7D">
        <w:rPr>
          <w:rFonts w:ascii="Times New Roman" w:eastAsia="Times New Roman" w:hAnsi="Times New Roman" w:cs="Times New Roman"/>
          <w:b/>
          <w:bCs/>
          <w:sz w:val="24"/>
          <w:szCs w:val="24"/>
          <w:lang w:eastAsia="es-EC"/>
        </w:rPr>
        <w:t>:</w:t>
      </w:r>
    </w:p>
    <w:p w14:paraId="29C4FC92" w14:textId="54A09B8D" w:rsidR="003960E9" w:rsidRPr="003960E9" w:rsidRDefault="00683C7D" w:rsidP="00B21A77">
      <w:pPr>
        <w:spacing w:line="360" w:lineRule="auto"/>
        <w:jc w:val="right"/>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 </w:t>
      </w:r>
      <w:r w:rsidR="003960E9" w:rsidRPr="003960E9">
        <w:rPr>
          <w:rFonts w:ascii="Times New Roman" w:eastAsia="Times New Roman" w:hAnsi="Times New Roman" w:cs="Times New Roman"/>
          <w:sz w:val="24"/>
          <w:szCs w:val="24"/>
          <w:lang w:eastAsia="es-EC"/>
        </w:rPr>
        <w:t>N/A</w:t>
      </w:r>
    </w:p>
    <w:p w14:paraId="051A3533" w14:textId="1DE4D1D4" w:rsidR="003960E9" w:rsidRPr="00683C7D" w:rsidRDefault="003960E9" w:rsidP="00B21A77">
      <w:pPr>
        <w:spacing w:line="360" w:lineRule="auto"/>
        <w:jc w:val="right"/>
        <w:rPr>
          <w:rFonts w:ascii="Times New Roman" w:eastAsia="Times New Roman" w:hAnsi="Times New Roman" w:cs="Times New Roman"/>
          <w:b/>
          <w:bCs/>
          <w:sz w:val="24"/>
          <w:szCs w:val="24"/>
          <w:lang w:eastAsia="es-EC"/>
        </w:rPr>
      </w:pPr>
      <w:r w:rsidRPr="00683C7D">
        <w:rPr>
          <w:rFonts w:ascii="Times New Roman" w:eastAsia="Times New Roman" w:hAnsi="Times New Roman" w:cs="Times New Roman"/>
          <w:b/>
          <w:bCs/>
          <w:sz w:val="24"/>
          <w:szCs w:val="24"/>
          <w:lang w:eastAsia="es-EC"/>
        </w:rPr>
        <w:t>Nota</w:t>
      </w:r>
      <w:r w:rsidR="00683C7D" w:rsidRPr="00683C7D">
        <w:rPr>
          <w:rFonts w:ascii="Times New Roman" w:eastAsia="Times New Roman" w:hAnsi="Times New Roman" w:cs="Times New Roman"/>
          <w:b/>
          <w:bCs/>
          <w:sz w:val="24"/>
          <w:szCs w:val="24"/>
          <w:lang w:eastAsia="es-EC"/>
        </w:rPr>
        <w:t>:</w:t>
      </w:r>
    </w:p>
    <w:p w14:paraId="5BBFB256" w14:textId="4A4EB7C5" w:rsidR="003960E9" w:rsidRPr="003960E9" w:rsidRDefault="003960E9" w:rsidP="00B21A77">
      <w:pPr>
        <w:spacing w:line="360" w:lineRule="auto"/>
        <w:jc w:val="right"/>
        <w:rPr>
          <w:rFonts w:ascii="Times New Roman" w:eastAsia="Times New Roman" w:hAnsi="Times New Roman" w:cs="Times New Roman"/>
          <w:sz w:val="24"/>
          <w:szCs w:val="24"/>
          <w:lang w:eastAsia="es-EC"/>
        </w:rPr>
      </w:pPr>
      <w:r w:rsidRPr="003960E9">
        <w:rPr>
          <w:rFonts w:ascii="Times New Roman" w:eastAsia="Times New Roman" w:hAnsi="Times New Roman" w:cs="Times New Roman"/>
          <w:sz w:val="24"/>
          <w:szCs w:val="24"/>
          <w:lang w:eastAsia="es-EC"/>
        </w:rPr>
        <w:t>El artículo no es producto de una</w:t>
      </w:r>
      <w:r w:rsidR="00683C7D">
        <w:rPr>
          <w:rFonts w:ascii="Times New Roman" w:eastAsia="Times New Roman" w:hAnsi="Times New Roman" w:cs="Times New Roman"/>
          <w:sz w:val="24"/>
          <w:szCs w:val="24"/>
          <w:lang w:eastAsia="es-EC"/>
        </w:rPr>
        <w:t xml:space="preserve"> </w:t>
      </w:r>
      <w:r w:rsidRPr="003960E9">
        <w:rPr>
          <w:rFonts w:ascii="Times New Roman" w:eastAsia="Times New Roman" w:hAnsi="Times New Roman" w:cs="Times New Roman"/>
          <w:sz w:val="24"/>
          <w:szCs w:val="24"/>
          <w:lang w:eastAsia="es-EC"/>
        </w:rPr>
        <w:t>publicación anterior.</w:t>
      </w:r>
    </w:p>
    <w:bookmarkEnd w:id="9"/>
    <w:p w14:paraId="4EA0A127" w14:textId="77777777" w:rsidR="00D41903" w:rsidRDefault="00D41903" w:rsidP="00B21A77">
      <w:pPr>
        <w:spacing w:line="360" w:lineRule="auto"/>
        <w:jc w:val="center"/>
        <w:rPr>
          <w:rFonts w:ascii="Times New Roman" w:eastAsia="Times New Roman" w:hAnsi="Times New Roman" w:cs="Times New Roman"/>
          <w:b/>
          <w:bCs/>
          <w:sz w:val="28"/>
          <w:szCs w:val="28"/>
          <w:lang w:eastAsia="es-EC"/>
        </w:rPr>
      </w:pPr>
    </w:p>
    <w:sectPr w:rsidR="00D41903" w:rsidSect="0018070C">
      <w:headerReference w:type="default" r:id="rId36"/>
      <w:footerReference w:type="default" r:id="rId37"/>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B8B1" w14:textId="77777777" w:rsidR="00FC6DF3" w:rsidRDefault="00FC6DF3" w:rsidP="008B728A">
      <w:r>
        <w:separator/>
      </w:r>
    </w:p>
  </w:endnote>
  <w:endnote w:type="continuationSeparator" w:id="0">
    <w:p w14:paraId="15422711" w14:textId="77777777" w:rsidR="00FC6DF3" w:rsidRDefault="00FC6DF3" w:rsidP="008B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C9B2" w14:textId="776C43C4" w:rsidR="00B21A77" w:rsidRPr="000D7974" w:rsidRDefault="00B21A77" w:rsidP="00B21A77">
    <w:pPr>
      <w:tabs>
        <w:tab w:val="center" w:pos="4252"/>
        <w:tab w:val="right" w:pos="8504"/>
      </w:tabs>
      <w:spacing w:after="160" w:line="480" w:lineRule="auto"/>
      <w:ind w:right="360"/>
      <w:jc w:val="center"/>
      <w:rPr>
        <w:lang w:val="pt-PT"/>
      </w:rPr>
    </w:pPr>
    <w:r w:rsidRPr="008F5EFD">
      <w:rPr>
        <w:rFonts w:eastAsia="Calibri" w:cstheme="minorHAnsi"/>
        <w:i/>
        <w:noProof/>
        <w:color w:val="3D3C3B"/>
        <w:lang w:val="es-US"/>
      </w:rPr>
      <w:drawing>
        <wp:inline distT="0" distB="0" distL="0" distR="0" wp14:anchorId="7F28AECA" wp14:editId="56C688C5">
          <wp:extent cx="647700" cy="228600"/>
          <wp:effectExtent l="0" t="0" r="0" b="0"/>
          <wp:docPr id="2070197375" name="Imagen 207019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8F5EFD">
      <w:rPr>
        <w:rFonts w:eastAsia="Calibri" w:cstheme="minorHAnsi"/>
        <w:i/>
        <w:iCs/>
        <w:noProof/>
        <w:color w:val="3D3C3B"/>
        <w:lang w:val="en-US"/>
      </w:rPr>
      <w:t>Vol</w:t>
    </w:r>
    <w:r>
      <w:rPr>
        <w:rFonts w:eastAsia="Calibri" w:cstheme="minorHAnsi"/>
        <w:i/>
        <w:iCs/>
        <w:noProof/>
        <w:color w:val="3D3C3B"/>
        <w:lang w:val="en-US"/>
      </w:rPr>
      <w:t xml:space="preserve"> 9</w:t>
    </w:r>
    <w:r w:rsidRPr="008F5EFD">
      <w:rPr>
        <w:rFonts w:eastAsia="Calibri" w:cstheme="minorHAnsi"/>
        <w:i/>
        <w:iCs/>
        <w:noProof/>
        <w:color w:val="3D3C3B"/>
        <w:lang w:val="en-US"/>
      </w:rPr>
      <w:t xml:space="preserve">-N° </w:t>
    </w:r>
    <w:r>
      <w:rPr>
        <w:rFonts w:eastAsia="Calibri" w:cstheme="minorHAnsi"/>
        <w:i/>
        <w:iCs/>
        <w:noProof/>
        <w:color w:val="3D3C3B"/>
        <w:lang w:val="en-US"/>
      </w:rPr>
      <w:t>2</w:t>
    </w:r>
    <w:r w:rsidRPr="008F5EFD">
      <w:rPr>
        <w:rFonts w:eastAsia="Calibri" w:cstheme="minorHAnsi"/>
        <w:i/>
        <w:iCs/>
        <w:noProof/>
        <w:color w:val="3D3C3B"/>
        <w:lang w:val="en-US"/>
      </w:rPr>
      <w:t>, 202</w:t>
    </w:r>
    <w:r>
      <w:rPr>
        <w:rFonts w:eastAsia="Calibri" w:cstheme="minorHAnsi"/>
        <w:i/>
        <w:iCs/>
        <w:noProof/>
        <w:color w:val="3D3C3B"/>
        <w:lang w:val="en-US"/>
      </w:rPr>
      <w:t>5</w:t>
    </w:r>
    <w:r w:rsidRPr="008F5EFD">
      <w:rPr>
        <w:rFonts w:eastAsia="Calibri" w:cstheme="minorHAnsi"/>
        <w:i/>
        <w:iCs/>
        <w:noProof/>
        <w:color w:val="3D3C3B"/>
        <w:lang w:val="en-US"/>
      </w:rPr>
      <w:t>, pp.</w:t>
    </w:r>
    <w:r>
      <w:rPr>
        <w:rFonts w:eastAsia="Calibri" w:cstheme="minorHAnsi"/>
        <w:i/>
        <w:iCs/>
        <w:noProof/>
        <w:color w:val="3D3C3B"/>
        <w:lang w:val="en-US"/>
      </w:rPr>
      <w:t>1</w:t>
    </w:r>
    <w:r w:rsidRPr="008F5EFD">
      <w:rPr>
        <w:rFonts w:eastAsia="Calibri" w:cstheme="minorHAnsi"/>
        <w:i/>
        <w:iCs/>
        <w:noProof/>
        <w:color w:val="3D3C3B"/>
        <w:lang w:val="en-US"/>
      </w:rPr>
      <w:t>-</w:t>
    </w:r>
    <w:r>
      <w:rPr>
        <w:rFonts w:eastAsia="Calibri" w:cstheme="minorHAnsi"/>
        <w:i/>
        <w:iCs/>
        <w:noProof/>
        <w:color w:val="3D3C3B"/>
        <w:lang w:val="en-US"/>
      </w:rPr>
      <w:t>2</w:t>
    </w:r>
    <w:r w:rsidR="00DB77D8">
      <w:rPr>
        <w:rFonts w:eastAsia="Calibri" w:cstheme="minorHAnsi"/>
        <w:i/>
        <w:iCs/>
        <w:noProof/>
        <w:color w:val="3D3C3B"/>
        <w:lang w:val="en-US"/>
      </w:rPr>
      <w:t>6</w:t>
    </w:r>
    <w:r w:rsidRPr="008F5EFD">
      <w:rPr>
        <w:rFonts w:eastAsia="Calibri" w:cstheme="minorHAnsi"/>
        <w:i/>
        <w:iCs/>
        <w:noProof/>
        <w:color w:val="3D3C3B"/>
        <w:lang w:val="en-US"/>
      </w:rPr>
      <w:t xml:space="preserve">       Journal Scientific MQRInvestigar      </w:t>
    </w:r>
    <w:r w:rsidRPr="008F5EFD">
      <w:rPr>
        <w:rFonts w:cstheme="minorHAnsi"/>
        <w:i/>
      </w:rPr>
      <w:fldChar w:fldCharType="begin"/>
    </w:r>
    <w:r w:rsidRPr="008F5EFD">
      <w:rPr>
        <w:rFonts w:cstheme="minorHAnsi"/>
        <w:i/>
        <w:lang w:val="pt-PT"/>
      </w:rPr>
      <w:instrText>PAGE   \* MERGEFORMAT</w:instrText>
    </w:r>
    <w:r w:rsidRPr="008F5EFD">
      <w:rPr>
        <w:rFonts w:cstheme="minorHAnsi"/>
        <w:i/>
      </w:rPr>
      <w:fldChar w:fldCharType="separate"/>
    </w:r>
    <w:r>
      <w:rPr>
        <w:rFonts w:cstheme="minorHAnsi"/>
        <w:i/>
      </w:rPr>
      <w:t>1</w:t>
    </w:r>
    <w:r w:rsidRPr="008F5EFD">
      <w:rPr>
        <w:rFonts w:cstheme="minorHAnsi"/>
        <w:i/>
      </w:rPr>
      <w:fldChar w:fldCharType="end"/>
    </w:r>
  </w:p>
  <w:p w14:paraId="68694A0A" w14:textId="77777777" w:rsidR="00D27364" w:rsidRPr="00B21A77" w:rsidRDefault="00D27364" w:rsidP="00B21A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22A4" w14:textId="77777777" w:rsidR="00FC6DF3" w:rsidRDefault="00FC6DF3" w:rsidP="008B728A">
      <w:r>
        <w:separator/>
      </w:r>
    </w:p>
  </w:footnote>
  <w:footnote w:type="continuationSeparator" w:id="0">
    <w:p w14:paraId="4920258B" w14:textId="77777777" w:rsidR="00FC6DF3" w:rsidRDefault="00FC6DF3" w:rsidP="008B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7579" w14:textId="4A7D1C17" w:rsidR="00B21A77" w:rsidRPr="00FB1910" w:rsidRDefault="00B21A77" w:rsidP="00B21A77">
    <w:pPr>
      <w:tabs>
        <w:tab w:val="center" w:pos="4252"/>
        <w:tab w:val="right" w:pos="8504"/>
      </w:tabs>
      <w:jc w:val="right"/>
      <w:rPr>
        <w:rFonts w:ascii="Times New Roman" w:eastAsia="Calibri" w:hAnsi="Times New Roman" w:cs="Times New Roman"/>
        <w:bCs/>
        <w:sz w:val="18"/>
        <w:szCs w:val="18"/>
        <w:lang w:val="en-US"/>
      </w:rPr>
    </w:pPr>
    <w:bookmarkStart w:id="10" w:name="_Hlk168596399"/>
    <w:bookmarkStart w:id="11" w:name="_Hlk168596400"/>
    <w:bookmarkStart w:id="12" w:name="_Hlk168605217"/>
    <w:bookmarkStart w:id="13" w:name="_Hlk168605218"/>
    <w:bookmarkStart w:id="14" w:name="_Hlk176976477"/>
    <w:bookmarkStart w:id="15" w:name="_Hlk176976478"/>
    <w:bookmarkStart w:id="16" w:name="_Hlk176976565"/>
    <w:bookmarkStart w:id="17" w:name="_Hlk176976566"/>
    <w:bookmarkStart w:id="18" w:name="_Hlk176985864"/>
    <w:bookmarkStart w:id="19" w:name="_Hlk176987384"/>
    <w:bookmarkStart w:id="20" w:name="_Hlk180952673"/>
    <w:bookmarkStart w:id="21" w:name="_Hlk180952674"/>
    <w:bookmarkStart w:id="22" w:name="_Hlk181777909"/>
    <w:bookmarkStart w:id="23" w:name="_Hlk181777910"/>
    <w:bookmarkStart w:id="24" w:name="_Hlk181791419"/>
    <w:bookmarkStart w:id="25" w:name="_Hlk181791420"/>
    <w:bookmarkStart w:id="26" w:name="_Hlk183110154"/>
    <w:bookmarkStart w:id="27" w:name="_Hlk183110155"/>
    <w:bookmarkStart w:id="28" w:name="_Hlk189424954"/>
    <w:bookmarkStart w:id="29" w:name="_Hlk189424955"/>
    <w:bookmarkStart w:id="30" w:name="_Hlk200625645"/>
    <w:bookmarkStart w:id="31" w:name="_Hlk200625646"/>
    <w:r>
      <w:rPr>
        <w:rFonts w:ascii="Times New Roman" w:eastAsia="Calibri" w:hAnsi="Times New Roman" w:cs="Times New Roman"/>
        <w:color w:val="000000"/>
        <w:sz w:val="24"/>
        <w:szCs w:val="24"/>
        <w:lang w:val="en-US"/>
      </w:rPr>
      <w:t>9</w:t>
    </w:r>
    <w:r w:rsidRPr="00F80050">
      <w:rPr>
        <w:rFonts w:ascii="Times New Roman" w:eastAsia="Calibri" w:hAnsi="Times New Roman" w:cs="Times New Roman"/>
        <w:color w:val="000000"/>
        <w:sz w:val="24"/>
        <w:szCs w:val="24"/>
        <w:lang w:val="en-US"/>
      </w:rPr>
      <w:t xml:space="preserve"> No.</w:t>
    </w:r>
    <w:r>
      <w:rPr>
        <w:rFonts w:ascii="Times New Roman" w:eastAsia="Calibri" w:hAnsi="Times New Roman" w:cs="Times New Roman"/>
        <w:color w:val="000000"/>
        <w:sz w:val="24"/>
        <w:szCs w:val="24"/>
        <w:lang w:val="en-US"/>
      </w:rPr>
      <w:t>2</w:t>
    </w:r>
    <w:r w:rsidRPr="00F80050">
      <w:rPr>
        <w:rFonts w:ascii="Times New Roman" w:eastAsia="Calibri" w:hAnsi="Times New Roman" w:cs="Times New Roman"/>
        <w:color w:val="000000"/>
        <w:sz w:val="24"/>
        <w:szCs w:val="24"/>
        <w:lang w:val="en-US"/>
      </w:rPr>
      <w:t xml:space="preserve"> (202</w:t>
    </w:r>
    <w:r>
      <w:rPr>
        <w:rFonts w:ascii="Times New Roman" w:eastAsia="Calibri" w:hAnsi="Times New Roman" w:cs="Times New Roman"/>
        <w:color w:val="000000"/>
        <w:sz w:val="24"/>
        <w:szCs w:val="24"/>
        <w:lang w:val="en-US"/>
      </w:rPr>
      <w:t>5</w:t>
    </w:r>
    <w:r w:rsidRPr="00F80050">
      <w:rPr>
        <w:rFonts w:ascii="Times New Roman" w:eastAsia="Calibri" w:hAnsi="Times New Roman" w:cs="Times New Roman"/>
        <w:color w:val="000000"/>
        <w:sz w:val="24"/>
        <w:szCs w:val="24"/>
        <w:lang w:val="en-US"/>
      </w:rPr>
      <w:t xml:space="preserve">): </w:t>
    </w:r>
    <w:r w:rsidRPr="00F80050">
      <w:rPr>
        <w:rFonts w:ascii="Times New Roman" w:eastAsia="Calibri" w:hAnsi="Times New Roman" w:cs="Times New Roman"/>
        <w:sz w:val="24"/>
        <w:szCs w:val="24"/>
        <w:lang w:val="en"/>
      </w:rPr>
      <w:t xml:space="preserve">Journal Scientific  </w:t>
    </w:r>
    <w:r w:rsidRPr="00F80050">
      <w:rPr>
        <w:rFonts w:ascii="Times New Roman" w:eastAsia="Calibri" w:hAnsi="Times New Roman" w:cs="Times New Roman"/>
        <w:noProof/>
        <w:color w:val="000000"/>
        <w:sz w:val="24"/>
        <w:szCs w:val="24"/>
        <w:lang w:val="es-US"/>
      </w:rPr>
      <w:drawing>
        <wp:inline distT="0" distB="0" distL="0" distR="0" wp14:anchorId="4BD78291" wp14:editId="25B8C5D3">
          <wp:extent cx="266700" cy="266700"/>
          <wp:effectExtent l="0" t="0" r="0" b="0"/>
          <wp:docPr id="1840157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roofErr w:type="spellStart"/>
    <w:r w:rsidRPr="00F80050">
      <w:rPr>
        <w:rFonts w:ascii="Times New Roman" w:eastAsia="Calibri" w:hAnsi="Times New Roman" w:cs="Times New Roman"/>
        <w:color w:val="000000"/>
        <w:sz w:val="24"/>
        <w:szCs w:val="24"/>
        <w:lang w:val="en-US"/>
      </w:rPr>
      <w:t>Investigar</w:t>
    </w:r>
    <w:proofErr w:type="spellEnd"/>
    <w:r w:rsidRPr="00F80050">
      <w:rPr>
        <w:rFonts w:ascii="Times New Roman" w:eastAsia="Calibri" w:hAnsi="Times New Roman" w:cs="Times New Roman"/>
        <w:color w:val="000000"/>
        <w:sz w:val="24"/>
        <w:szCs w:val="24"/>
        <w:lang w:val="en-US"/>
      </w:rPr>
      <w:t xml:space="preserve"> </w:t>
    </w:r>
    <w:r w:rsidRPr="00F80050">
      <w:rPr>
        <w:rFonts w:ascii="Times New Roman" w:eastAsia="Calibri" w:hAnsi="Times New Roman" w:cs="Times New Roman"/>
        <w:color w:val="C00000"/>
        <w:sz w:val="24"/>
        <w:szCs w:val="24"/>
        <w:lang w:val="en-US"/>
      </w:rPr>
      <w:t>ISSN: 2588–0659</w:t>
    </w:r>
    <w:r w:rsidRPr="00F80050">
      <w:rPr>
        <w:rFonts w:ascii="Times New Roman" w:eastAsia="Calibri" w:hAnsi="Times New Roman" w:cs="Times New Roman"/>
        <w:color w:val="C00000"/>
        <w:sz w:val="24"/>
        <w:szCs w:val="24"/>
        <w:lang w:val="en-US"/>
      </w:rPr>
      <w:br/>
    </w:r>
    <w:r w:rsidRPr="00F80050">
      <w:rPr>
        <w:rFonts w:ascii="Times New Roman" w:eastAsia="Calibri" w:hAnsi="Times New Roman" w:cs="Times New Roman"/>
        <w:bCs/>
        <w:sz w:val="18"/>
        <w:szCs w:val="18"/>
        <w:lang w:val="en-US"/>
      </w:rPr>
      <w:t>https://doi.org/10.56048/MQR20225.</w:t>
    </w:r>
    <w:r>
      <w:rPr>
        <w:rFonts w:eastAsia="Calibri"/>
        <w:bCs/>
        <w:sz w:val="18"/>
        <w:szCs w:val="18"/>
        <w:lang w:val="en-US"/>
      </w:rPr>
      <w:t>9</w:t>
    </w:r>
    <w:r>
      <w:rPr>
        <w:rFonts w:ascii="Times New Roman" w:eastAsia="Calibri" w:hAnsi="Times New Roman" w:cs="Times New Roman"/>
        <w:bCs/>
        <w:sz w:val="18"/>
        <w:szCs w:val="18"/>
        <w:lang w:val="en-US"/>
      </w:rPr>
      <w:t>.</w:t>
    </w:r>
    <w:r>
      <w:rPr>
        <w:rFonts w:eastAsia="Calibri"/>
        <w:bCs/>
        <w:sz w:val="18"/>
        <w:szCs w:val="18"/>
        <w:lang w:val="en-US"/>
      </w:rPr>
      <w:t>2</w:t>
    </w:r>
    <w:r w:rsidRPr="00F80050">
      <w:rPr>
        <w:rFonts w:ascii="Times New Roman" w:eastAsia="Calibri" w:hAnsi="Times New Roman" w:cs="Times New Roman"/>
        <w:bCs/>
        <w:sz w:val="18"/>
        <w:szCs w:val="18"/>
        <w:lang w:val="en-US"/>
      </w:rPr>
      <w:t>.202</w:t>
    </w:r>
    <w:r>
      <w:rPr>
        <w:rFonts w:eastAsia="Calibri"/>
        <w:bCs/>
        <w:sz w:val="18"/>
        <w:szCs w:val="18"/>
        <w:lang w:val="en-US"/>
      </w:rPr>
      <w:t>5.e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New Roman" w:eastAsia="Calibri" w:hAnsi="Times New Roman" w:cs="Times New Roman"/>
        <w:bCs/>
        <w:sz w:val="18"/>
        <w:szCs w:val="18"/>
        <w:lang w:val="en-US"/>
      </w:rPr>
      <w:t>672</w:t>
    </w:r>
  </w:p>
  <w:bookmarkEnd w:id="30"/>
  <w:bookmarkEnd w:id="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E88F6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05001907" o:spid="_x0000_i1025" type="#_x0000_t75" style="width:15pt;height:15pt;visibility:visible;mso-wrap-style:square">
            <v:imagedata r:id="rId1" o:title=""/>
          </v:shape>
        </w:pict>
      </mc:Choice>
      <mc:Fallback>
        <w:drawing>
          <wp:inline distT="0" distB="0" distL="0" distR="0" wp14:anchorId="46DCE392" wp14:editId="23132032">
            <wp:extent cx="190500" cy="190500"/>
            <wp:effectExtent l="0" t="0" r="0" b="0"/>
            <wp:docPr id="505001907" name="Imagen 50500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numPicBullet w:numPicBulletId="1">
    <mc:AlternateContent>
      <mc:Choice Requires="v">
        <w:pict>
          <v:shape w14:anchorId="35CD123C" id="Imagen 894990454" o:spid="_x0000_i1025" type="#_x0000_t75" style="width:15.75pt;height:15.75pt;visibility:visible;mso-wrap-style:square">
            <v:imagedata r:id="rId3" o:title=""/>
          </v:shape>
        </w:pict>
      </mc:Choice>
      <mc:Fallback>
        <w:drawing>
          <wp:inline distT="0" distB="0" distL="0" distR="0" wp14:anchorId="2FC6F4EF" wp14:editId="7EAF3555">
            <wp:extent cx="200025" cy="200025"/>
            <wp:effectExtent l="0" t="0" r="0" b="0"/>
            <wp:docPr id="894990454" name="Imagen 89499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mc:Fallback>
    </mc:AlternateContent>
  </w:numPicBullet>
  <w:abstractNum w:abstractNumId="0" w15:restartNumberingAfterBreak="0">
    <w:nsid w:val="07A619CB"/>
    <w:multiLevelType w:val="hybridMultilevel"/>
    <w:tmpl w:val="31304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26224"/>
    <w:multiLevelType w:val="hybridMultilevel"/>
    <w:tmpl w:val="8258F3D0"/>
    <w:lvl w:ilvl="0" w:tplc="8344533C">
      <w:start w:val="1"/>
      <w:numFmt w:val="decimal"/>
      <w:lvlText w:val="%1)"/>
      <w:lvlJc w:val="left"/>
      <w:pPr>
        <w:ind w:left="720" w:hanging="360"/>
      </w:pPr>
      <w:rPr>
        <w:rFonts w:ascii="Century Gothic" w:hAnsi="Century Gothic" w:cstheme="maj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00000"/>
    <w:multiLevelType w:val="hybridMultilevel"/>
    <w:tmpl w:val="2E499821"/>
    <w:lvl w:ilvl="0" w:tplc="8D9868AC">
      <w:start w:val="1"/>
      <w:numFmt w:val="decimal"/>
      <w:lvlText w:val="%1."/>
      <w:lvlJc w:val="left"/>
      <w:pPr>
        <w:ind w:left="720" w:hanging="360"/>
      </w:pPr>
      <w:rPr>
        <w:rFonts w:hint="default"/>
        <w:b/>
      </w:rPr>
    </w:lvl>
    <w:lvl w:ilvl="1" w:tplc="11040482">
      <w:start w:val="1"/>
      <w:numFmt w:val="lowerLetter"/>
      <w:lvlText w:val="%2."/>
      <w:lvlJc w:val="left"/>
      <w:pPr>
        <w:ind w:left="1440" w:hanging="360"/>
      </w:pPr>
    </w:lvl>
    <w:lvl w:ilvl="2" w:tplc="6A1E83E0">
      <w:start w:val="1"/>
      <w:numFmt w:val="lowerRoman"/>
      <w:lvlText w:val="%3."/>
      <w:lvlJc w:val="right"/>
      <w:pPr>
        <w:ind w:left="2160" w:hanging="180"/>
      </w:pPr>
    </w:lvl>
    <w:lvl w:ilvl="3" w:tplc="B46034B4">
      <w:start w:val="1"/>
      <w:numFmt w:val="decimal"/>
      <w:lvlText w:val="%4."/>
      <w:lvlJc w:val="left"/>
      <w:pPr>
        <w:ind w:left="2880" w:hanging="360"/>
      </w:pPr>
    </w:lvl>
    <w:lvl w:ilvl="4" w:tplc="635409FC">
      <w:start w:val="1"/>
      <w:numFmt w:val="lowerLetter"/>
      <w:lvlText w:val="%5."/>
      <w:lvlJc w:val="left"/>
      <w:pPr>
        <w:ind w:left="3600" w:hanging="360"/>
      </w:pPr>
    </w:lvl>
    <w:lvl w:ilvl="5" w:tplc="7E9C83D4">
      <w:start w:val="1"/>
      <w:numFmt w:val="lowerRoman"/>
      <w:lvlText w:val="%6."/>
      <w:lvlJc w:val="right"/>
      <w:pPr>
        <w:ind w:left="4320" w:hanging="180"/>
      </w:pPr>
    </w:lvl>
    <w:lvl w:ilvl="6" w:tplc="0600A7A4">
      <w:start w:val="1"/>
      <w:numFmt w:val="decimal"/>
      <w:lvlText w:val="%7."/>
      <w:lvlJc w:val="left"/>
      <w:pPr>
        <w:ind w:left="5040" w:hanging="360"/>
      </w:pPr>
    </w:lvl>
    <w:lvl w:ilvl="7" w:tplc="A6EC3860">
      <w:start w:val="1"/>
      <w:numFmt w:val="lowerLetter"/>
      <w:lvlText w:val="%8."/>
      <w:lvlJc w:val="left"/>
      <w:pPr>
        <w:ind w:left="5760" w:hanging="360"/>
      </w:pPr>
    </w:lvl>
    <w:lvl w:ilvl="8" w:tplc="347E21C4">
      <w:start w:val="1"/>
      <w:numFmt w:val="lowerRoman"/>
      <w:lvlText w:val="%9."/>
      <w:lvlJc w:val="right"/>
      <w:pPr>
        <w:ind w:left="6480" w:hanging="180"/>
      </w:pPr>
    </w:lvl>
  </w:abstractNum>
  <w:abstractNum w:abstractNumId="3" w15:restartNumberingAfterBreak="0">
    <w:nsid w:val="36E94710"/>
    <w:multiLevelType w:val="hybridMultilevel"/>
    <w:tmpl w:val="D832790E"/>
    <w:lvl w:ilvl="0" w:tplc="71FE7BA0">
      <w:start w:val="1"/>
      <w:numFmt w:val="bullet"/>
      <w:lvlText w:val=""/>
      <w:lvlPicBulletId w:val="0"/>
      <w:lvlJc w:val="left"/>
      <w:pPr>
        <w:tabs>
          <w:tab w:val="num" w:pos="720"/>
        </w:tabs>
        <w:ind w:left="720" w:hanging="360"/>
      </w:pPr>
      <w:rPr>
        <w:rFonts w:ascii="Symbol" w:hAnsi="Symbol" w:hint="default"/>
      </w:rPr>
    </w:lvl>
    <w:lvl w:ilvl="1" w:tplc="4E382352" w:tentative="1">
      <w:start w:val="1"/>
      <w:numFmt w:val="bullet"/>
      <w:lvlText w:val=""/>
      <w:lvlJc w:val="left"/>
      <w:pPr>
        <w:tabs>
          <w:tab w:val="num" w:pos="1440"/>
        </w:tabs>
        <w:ind w:left="1440" w:hanging="360"/>
      </w:pPr>
      <w:rPr>
        <w:rFonts w:ascii="Symbol" w:hAnsi="Symbol" w:hint="default"/>
      </w:rPr>
    </w:lvl>
    <w:lvl w:ilvl="2" w:tplc="4A4A84E6" w:tentative="1">
      <w:start w:val="1"/>
      <w:numFmt w:val="bullet"/>
      <w:lvlText w:val=""/>
      <w:lvlJc w:val="left"/>
      <w:pPr>
        <w:tabs>
          <w:tab w:val="num" w:pos="2160"/>
        </w:tabs>
        <w:ind w:left="2160" w:hanging="360"/>
      </w:pPr>
      <w:rPr>
        <w:rFonts w:ascii="Symbol" w:hAnsi="Symbol" w:hint="default"/>
      </w:rPr>
    </w:lvl>
    <w:lvl w:ilvl="3" w:tplc="DDC6BA18" w:tentative="1">
      <w:start w:val="1"/>
      <w:numFmt w:val="bullet"/>
      <w:lvlText w:val=""/>
      <w:lvlJc w:val="left"/>
      <w:pPr>
        <w:tabs>
          <w:tab w:val="num" w:pos="2880"/>
        </w:tabs>
        <w:ind w:left="2880" w:hanging="360"/>
      </w:pPr>
      <w:rPr>
        <w:rFonts w:ascii="Symbol" w:hAnsi="Symbol" w:hint="default"/>
      </w:rPr>
    </w:lvl>
    <w:lvl w:ilvl="4" w:tplc="C932033C" w:tentative="1">
      <w:start w:val="1"/>
      <w:numFmt w:val="bullet"/>
      <w:lvlText w:val=""/>
      <w:lvlJc w:val="left"/>
      <w:pPr>
        <w:tabs>
          <w:tab w:val="num" w:pos="3600"/>
        </w:tabs>
        <w:ind w:left="3600" w:hanging="360"/>
      </w:pPr>
      <w:rPr>
        <w:rFonts w:ascii="Symbol" w:hAnsi="Symbol" w:hint="default"/>
      </w:rPr>
    </w:lvl>
    <w:lvl w:ilvl="5" w:tplc="7CDEF162" w:tentative="1">
      <w:start w:val="1"/>
      <w:numFmt w:val="bullet"/>
      <w:lvlText w:val=""/>
      <w:lvlJc w:val="left"/>
      <w:pPr>
        <w:tabs>
          <w:tab w:val="num" w:pos="4320"/>
        </w:tabs>
        <w:ind w:left="4320" w:hanging="360"/>
      </w:pPr>
      <w:rPr>
        <w:rFonts w:ascii="Symbol" w:hAnsi="Symbol" w:hint="default"/>
      </w:rPr>
    </w:lvl>
    <w:lvl w:ilvl="6" w:tplc="E59E7B1A" w:tentative="1">
      <w:start w:val="1"/>
      <w:numFmt w:val="bullet"/>
      <w:lvlText w:val=""/>
      <w:lvlJc w:val="left"/>
      <w:pPr>
        <w:tabs>
          <w:tab w:val="num" w:pos="5040"/>
        </w:tabs>
        <w:ind w:left="5040" w:hanging="360"/>
      </w:pPr>
      <w:rPr>
        <w:rFonts w:ascii="Symbol" w:hAnsi="Symbol" w:hint="default"/>
      </w:rPr>
    </w:lvl>
    <w:lvl w:ilvl="7" w:tplc="1862E01C" w:tentative="1">
      <w:start w:val="1"/>
      <w:numFmt w:val="bullet"/>
      <w:lvlText w:val=""/>
      <w:lvlJc w:val="left"/>
      <w:pPr>
        <w:tabs>
          <w:tab w:val="num" w:pos="5760"/>
        </w:tabs>
        <w:ind w:left="5760" w:hanging="360"/>
      </w:pPr>
      <w:rPr>
        <w:rFonts w:ascii="Symbol" w:hAnsi="Symbol" w:hint="default"/>
      </w:rPr>
    </w:lvl>
    <w:lvl w:ilvl="8" w:tplc="171CE9F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7D369C3"/>
    <w:multiLevelType w:val="hybridMultilevel"/>
    <w:tmpl w:val="7058684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3AC27005"/>
    <w:multiLevelType w:val="hybridMultilevel"/>
    <w:tmpl w:val="80E42988"/>
    <w:lvl w:ilvl="0" w:tplc="D11CA4B0">
      <w:start w:val="1"/>
      <w:numFmt w:val="bullet"/>
      <w:lvlText w:val=""/>
      <w:lvlPicBulletId w:val="1"/>
      <w:lvlJc w:val="left"/>
      <w:pPr>
        <w:tabs>
          <w:tab w:val="num" w:pos="720"/>
        </w:tabs>
        <w:ind w:left="720" w:hanging="360"/>
      </w:pPr>
      <w:rPr>
        <w:rFonts w:ascii="Symbol" w:hAnsi="Symbol" w:hint="default"/>
      </w:rPr>
    </w:lvl>
    <w:lvl w:ilvl="1" w:tplc="5BC27E16" w:tentative="1">
      <w:start w:val="1"/>
      <w:numFmt w:val="bullet"/>
      <w:lvlText w:val=""/>
      <w:lvlJc w:val="left"/>
      <w:pPr>
        <w:tabs>
          <w:tab w:val="num" w:pos="1440"/>
        </w:tabs>
        <w:ind w:left="1440" w:hanging="360"/>
      </w:pPr>
      <w:rPr>
        <w:rFonts w:ascii="Symbol" w:hAnsi="Symbol" w:hint="default"/>
      </w:rPr>
    </w:lvl>
    <w:lvl w:ilvl="2" w:tplc="8C2AB5A0" w:tentative="1">
      <w:start w:val="1"/>
      <w:numFmt w:val="bullet"/>
      <w:lvlText w:val=""/>
      <w:lvlJc w:val="left"/>
      <w:pPr>
        <w:tabs>
          <w:tab w:val="num" w:pos="2160"/>
        </w:tabs>
        <w:ind w:left="2160" w:hanging="360"/>
      </w:pPr>
      <w:rPr>
        <w:rFonts w:ascii="Symbol" w:hAnsi="Symbol" w:hint="default"/>
      </w:rPr>
    </w:lvl>
    <w:lvl w:ilvl="3" w:tplc="49D6F8E8" w:tentative="1">
      <w:start w:val="1"/>
      <w:numFmt w:val="bullet"/>
      <w:lvlText w:val=""/>
      <w:lvlJc w:val="left"/>
      <w:pPr>
        <w:tabs>
          <w:tab w:val="num" w:pos="2880"/>
        </w:tabs>
        <w:ind w:left="2880" w:hanging="360"/>
      </w:pPr>
      <w:rPr>
        <w:rFonts w:ascii="Symbol" w:hAnsi="Symbol" w:hint="default"/>
      </w:rPr>
    </w:lvl>
    <w:lvl w:ilvl="4" w:tplc="72DE2454" w:tentative="1">
      <w:start w:val="1"/>
      <w:numFmt w:val="bullet"/>
      <w:lvlText w:val=""/>
      <w:lvlJc w:val="left"/>
      <w:pPr>
        <w:tabs>
          <w:tab w:val="num" w:pos="3600"/>
        </w:tabs>
        <w:ind w:left="3600" w:hanging="360"/>
      </w:pPr>
      <w:rPr>
        <w:rFonts w:ascii="Symbol" w:hAnsi="Symbol" w:hint="default"/>
      </w:rPr>
    </w:lvl>
    <w:lvl w:ilvl="5" w:tplc="1B62E5DE" w:tentative="1">
      <w:start w:val="1"/>
      <w:numFmt w:val="bullet"/>
      <w:lvlText w:val=""/>
      <w:lvlJc w:val="left"/>
      <w:pPr>
        <w:tabs>
          <w:tab w:val="num" w:pos="4320"/>
        </w:tabs>
        <w:ind w:left="4320" w:hanging="360"/>
      </w:pPr>
      <w:rPr>
        <w:rFonts w:ascii="Symbol" w:hAnsi="Symbol" w:hint="default"/>
      </w:rPr>
    </w:lvl>
    <w:lvl w:ilvl="6" w:tplc="2DCAE794" w:tentative="1">
      <w:start w:val="1"/>
      <w:numFmt w:val="bullet"/>
      <w:lvlText w:val=""/>
      <w:lvlJc w:val="left"/>
      <w:pPr>
        <w:tabs>
          <w:tab w:val="num" w:pos="5040"/>
        </w:tabs>
        <w:ind w:left="5040" w:hanging="360"/>
      </w:pPr>
      <w:rPr>
        <w:rFonts w:ascii="Symbol" w:hAnsi="Symbol" w:hint="default"/>
      </w:rPr>
    </w:lvl>
    <w:lvl w:ilvl="7" w:tplc="DE08604E" w:tentative="1">
      <w:start w:val="1"/>
      <w:numFmt w:val="bullet"/>
      <w:lvlText w:val=""/>
      <w:lvlJc w:val="left"/>
      <w:pPr>
        <w:tabs>
          <w:tab w:val="num" w:pos="5760"/>
        </w:tabs>
        <w:ind w:left="5760" w:hanging="360"/>
      </w:pPr>
      <w:rPr>
        <w:rFonts w:ascii="Symbol" w:hAnsi="Symbol" w:hint="default"/>
      </w:rPr>
    </w:lvl>
    <w:lvl w:ilvl="8" w:tplc="F04653E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524280"/>
    <w:multiLevelType w:val="multilevel"/>
    <w:tmpl w:val="116CDFC2"/>
    <w:lvl w:ilvl="0">
      <w:start w:val="1"/>
      <w:numFmt w:val="decimal"/>
      <w:lvlText w:val="%1."/>
      <w:lvlJc w:val="left"/>
      <w:pPr>
        <w:ind w:left="585" w:hanging="585"/>
      </w:pPr>
      <w:rPr>
        <w:rFonts w:hint="default"/>
      </w:rPr>
    </w:lvl>
    <w:lvl w:ilvl="1">
      <w:start w:val="1"/>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B944CB2"/>
    <w:multiLevelType w:val="hybridMultilevel"/>
    <w:tmpl w:val="CCE854A8"/>
    <w:lvl w:ilvl="0" w:tplc="29AC2C46">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16cid:durableId="1634939823">
    <w:abstractNumId w:val="2"/>
  </w:num>
  <w:num w:numId="2" w16cid:durableId="173807968">
    <w:abstractNumId w:val="1"/>
  </w:num>
  <w:num w:numId="3" w16cid:durableId="864831702">
    <w:abstractNumId w:val="0"/>
  </w:num>
  <w:num w:numId="4" w16cid:durableId="1683580561">
    <w:abstractNumId w:val="6"/>
  </w:num>
  <w:num w:numId="5" w16cid:durableId="131218946">
    <w:abstractNumId w:val="4"/>
  </w:num>
  <w:num w:numId="6" w16cid:durableId="90928882">
    <w:abstractNumId w:val="7"/>
  </w:num>
  <w:num w:numId="7" w16cid:durableId="21901459">
    <w:abstractNumId w:val="3"/>
  </w:num>
  <w:num w:numId="8" w16cid:durableId="127929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F6"/>
    <w:rsid w:val="00000515"/>
    <w:rsid w:val="0000370F"/>
    <w:rsid w:val="00005505"/>
    <w:rsid w:val="00005DC6"/>
    <w:rsid w:val="000100AD"/>
    <w:rsid w:val="000105BF"/>
    <w:rsid w:val="00011377"/>
    <w:rsid w:val="00022F14"/>
    <w:rsid w:val="00043CEC"/>
    <w:rsid w:val="000474FC"/>
    <w:rsid w:val="00047FA9"/>
    <w:rsid w:val="00051219"/>
    <w:rsid w:val="00061FB5"/>
    <w:rsid w:val="000631FB"/>
    <w:rsid w:val="00063C1C"/>
    <w:rsid w:val="000711FA"/>
    <w:rsid w:val="0007283C"/>
    <w:rsid w:val="00077B02"/>
    <w:rsid w:val="00077F71"/>
    <w:rsid w:val="00080961"/>
    <w:rsid w:val="00083FAE"/>
    <w:rsid w:val="00084D68"/>
    <w:rsid w:val="0008700A"/>
    <w:rsid w:val="00094F77"/>
    <w:rsid w:val="000960E4"/>
    <w:rsid w:val="000A2FB5"/>
    <w:rsid w:val="000A2FD6"/>
    <w:rsid w:val="000A56F0"/>
    <w:rsid w:val="000B1104"/>
    <w:rsid w:val="000B2A7A"/>
    <w:rsid w:val="000B3061"/>
    <w:rsid w:val="000B37FC"/>
    <w:rsid w:val="000B6AC9"/>
    <w:rsid w:val="000B6F4B"/>
    <w:rsid w:val="000B7B23"/>
    <w:rsid w:val="000C0AC5"/>
    <w:rsid w:val="000C113D"/>
    <w:rsid w:val="000C216E"/>
    <w:rsid w:val="000C352B"/>
    <w:rsid w:val="000C4C3A"/>
    <w:rsid w:val="000C56A8"/>
    <w:rsid w:val="000D0083"/>
    <w:rsid w:val="000D03E1"/>
    <w:rsid w:val="000D1A14"/>
    <w:rsid w:val="000D1E2B"/>
    <w:rsid w:val="000D2199"/>
    <w:rsid w:val="000D26A1"/>
    <w:rsid w:val="000D2CCE"/>
    <w:rsid w:val="000D2F8A"/>
    <w:rsid w:val="000D6F85"/>
    <w:rsid w:val="000F3A5F"/>
    <w:rsid w:val="000F3B41"/>
    <w:rsid w:val="000F5958"/>
    <w:rsid w:val="000F5BF0"/>
    <w:rsid w:val="001020E6"/>
    <w:rsid w:val="00102707"/>
    <w:rsid w:val="00105527"/>
    <w:rsid w:val="00107FD9"/>
    <w:rsid w:val="00114485"/>
    <w:rsid w:val="00114599"/>
    <w:rsid w:val="00115224"/>
    <w:rsid w:val="00115573"/>
    <w:rsid w:val="00116C40"/>
    <w:rsid w:val="001176DD"/>
    <w:rsid w:val="001204C4"/>
    <w:rsid w:val="00135733"/>
    <w:rsid w:val="001371B6"/>
    <w:rsid w:val="001408FB"/>
    <w:rsid w:val="001425F1"/>
    <w:rsid w:val="00146769"/>
    <w:rsid w:val="00152312"/>
    <w:rsid w:val="001535F2"/>
    <w:rsid w:val="001604B1"/>
    <w:rsid w:val="001607D3"/>
    <w:rsid w:val="00161FD8"/>
    <w:rsid w:val="001630EC"/>
    <w:rsid w:val="001678BA"/>
    <w:rsid w:val="001707E6"/>
    <w:rsid w:val="00171407"/>
    <w:rsid w:val="001716C7"/>
    <w:rsid w:val="00176B26"/>
    <w:rsid w:val="001802B8"/>
    <w:rsid w:val="0018070C"/>
    <w:rsid w:val="001842C2"/>
    <w:rsid w:val="00185A97"/>
    <w:rsid w:val="00194EC2"/>
    <w:rsid w:val="001A0465"/>
    <w:rsid w:val="001A4376"/>
    <w:rsid w:val="001A6523"/>
    <w:rsid w:val="001A6D67"/>
    <w:rsid w:val="001B7447"/>
    <w:rsid w:val="001C3584"/>
    <w:rsid w:val="001C458E"/>
    <w:rsid w:val="001D1DFA"/>
    <w:rsid w:val="001D45CF"/>
    <w:rsid w:val="001D4782"/>
    <w:rsid w:val="001E1C77"/>
    <w:rsid w:val="001E3BF3"/>
    <w:rsid w:val="001E710D"/>
    <w:rsid w:val="001E784C"/>
    <w:rsid w:val="001F1F68"/>
    <w:rsid w:val="00205673"/>
    <w:rsid w:val="002116ED"/>
    <w:rsid w:val="00211F04"/>
    <w:rsid w:val="00213BCC"/>
    <w:rsid w:val="00216D73"/>
    <w:rsid w:val="00217607"/>
    <w:rsid w:val="002207F8"/>
    <w:rsid w:val="00222ECE"/>
    <w:rsid w:val="00224D0E"/>
    <w:rsid w:val="00231629"/>
    <w:rsid w:val="00234F64"/>
    <w:rsid w:val="00235031"/>
    <w:rsid w:val="002358A7"/>
    <w:rsid w:val="0024253F"/>
    <w:rsid w:val="002457EF"/>
    <w:rsid w:val="00253387"/>
    <w:rsid w:val="00255557"/>
    <w:rsid w:val="00260318"/>
    <w:rsid w:val="00262C69"/>
    <w:rsid w:val="0026638C"/>
    <w:rsid w:val="00266C86"/>
    <w:rsid w:val="002713DB"/>
    <w:rsid w:val="00271E61"/>
    <w:rsid w:val="002806B6"/>
    <w:rsid w:val="00286C0D"/>
    <w:rsid w:val="00290FE4"/>
    <w:rsid w:val="00297979"/>
    <w:rsid w:val="002A4484"/>
    <w:rsid w:val="002A48A0"/>
    <w:rsid w:val="002B62B6"/>
    <w:rsid w:val="002B63FB"/>
    <w:rsid w:val="002C2B19"/>
    <w:rsid w:val="002C2D8C"/>
    <w:rsid w:val="002C37BF"/>
    <w:rsid w:val="002C4265"/>
    <w:rsid w:val="002C44EE"/>
    <w:rsid w:val="002C6887"/>
    <w:rsid w:val="002C7DAD"/>
    <w:rsid w:val="002D1F40"/>
    <w:rsid w:val="002D2623"/>
    <w:rsid w:val="002D4CA0"/>
    <w:rsid w:val="002D5E16"/>
    <w:rsid w:val="002E5AAE"/>
    <w:rsid w:val="002E7238"/>
    <w:rsid w:val="002F322E"/>
    <w:rsid w:val="002F37EB"/>
    <w:rsid w:val="002F478B"/>
    <w:rsid w:val="002F506B"/>
    <w:rsid w:val="002F56B5"/>
    <w:rsid w:val="002F7ECA"/>
    <w:rsid w:val="003014C1"/>
    <w:rsid w:val="00303588"/>
    <w:rsid w:val="00306B5D"/>
    <w:rsid w:val="003103CF"/>
    <w:rsid w:val="00314A7C"/>
    <w:rsid w:val="00321314"/>
    <w:rsid w:val="00326414"/>
    <w:rsid w:val="00326BAC"/>
    <w:rsid w:val="003276DE"/>
    <w:rsid w:val="0033029D"/>
    <w:rsid w:val="00334D74"/>
    <w:rsid w:val="00337C49"/>
    <w:rsid w:val="003405E8"/>
    <w:rsid w:val="00340B99"/>
    <w:rsid w:val="003461F1"/>
    <w:rsid w:val="00352439"/>
    <w:rsid w:val="00353365"/>
    <w:rsid w:val="00360C0A"/>
    <w:rsid w:val="00361D22"/>
    <w:rsid w:val="0036287D"/>
    <w:rsid w:val="003646D7"/>
    <w:rsid w:val="00370564"/>
    <w:rsid w:val="003717D2"/>
    <w:rsid w:val="003900CD"/>
    <w:rsid w:val="00391AD2"/>
    <w:rsid w:val="00391D1F"/>
    <w:rsid w:val="00393563"/>
    <w:rsid w:val="00393BD8"/>
    <w:rsid w:val="00394FD6"/>
    <w:rsid w:val="003960E9"/>
    <w:rsid w:val="003A352F"/>
    <w:rsid w:val="003A3D8D"/>
    <w:rsid w:val="003B192C"/>
    <w:rsid w:val="003B3BB2"/>
    <w:rsid w:val="003B567F"/>
    <w:rsid w:val="003B6B65"/>
    <w:rsid w:val="003C284F"/>
    <w:rsid w:val="003C487E"/>
    <w:rsid w:val="003C4DC3"/>
    <w:rsid w:val="003C4F8C"/>
    <w:rsid w:val="003C7131"/>
    <w:rsid w:val="003D021F"/>
    <w:rsid w:val="003D1ED7"/>
    <w:rsid w:val="003D32BC"/>
    <w:rsid w:val="003D6076"/>
    <w:rsid w:val="003E14C3"/>
    <w:rsid w:val="003E39D2"/>
    <w:rsid w:val="003E6585"/>
    <w:rsid w:val="003E7B31"/>
    <w:rsid w:val="003F6856"/>
    <w:rsid w:val="003F68C6"/>
    <w:rsid w:val="00400671"/>
    <w:rsid w:val="00403915"/>
    <w:rsid w:val="00404EAD"/>
    <w:rsid w:val="004050E6"/>
    <w:rsid w:val="004053F5"/>
    <w:rsid w:val="00412F3B"/>
    <w:rsid w:val="00413096"/>
    <w:rsid w:val="0041515C"/>
    <w:rsid w:val="004167D4"/>
    <w:rsid w:val="00416D07"/>
    <w:rsid w:val="004200FD"/>
    <w:rsid w:val="00422C40"/>
    <w:rsid w:val="00426978"/>
    <w:rsid w:val="004273D8"/>
    <w:rsid w:val="0043028A"/>
    <w:rsid w:val="004357D0"/>
    <w:rsid w:val="0044079E"/>
    <w:rsid w:val="00450247"/>
    <w:rsid w:val="004505E2"/>
    <w:rsid w:val="00455DB0"/>
    <w:rsid w:val="00460819"/>
    <w:rsid w:val="004624B2"/>
    <w:rsid w:val="004634FF"/>
    <w:rsid w:val="00466D90"/>
    <w:rsid w:val="00474A81"/>
    <w:rsid w:val="00476662"/>
    <w:rsid w:val="00476D0A"/>
    <w:rsid w:val="004843C1"/>
    <w:rsid w:val="00487427"/>
    <w:rsid w:val="00493C5B"/>
    <w:rsid w:val="00497481"/>
    <w:rsid w:val="004A076C"/>
    <w:rsid w:val="004A1F34"/>
    <w:rsid w:val="004A3DA5"/>
    <w:rsid w:val="004A47B7"/>
    <w:rsid w:val="004B344C"/>
    <w:rsid w:val="004B6847"/>
    <w:rsid w:val="004B7986"/>
    <w:rsid w:val="004B7A69"/>
    <w:rsid w:val="004C03DA"/>
    <w:rsid w:val="004C19AB"/>
    <w:rsid w:val="004E1561"/>
    <w:rsid w:val="004E252D"/>
    <w:rsid w:val="004F2354"/>
    <w:rsid w:val="004F5DB5"/>
    <w:rsid w:val="00500A6F"/>
    <w:rsid w:val="00502C4E"/>
    <w:rsid w:val="00511718"/>
    <w:rsid w:val="0051403D"/>
    <w:rsid w:val="00527544"/>
    <w:rsid w:val="00530396"/>
    <w:rsid w:val="005306D7"/>
    <w:rsid w:val="005308D6"/>
    <w:rsid w:val="005312C8"/>
    <w:rsid w:val="00531368"/>
    <w:rsid w:val="00534FEF"/>
    <w:rsid w:val="0054132A"/>
    <w:rsid w:val="00541EC0"/>
    <w:rsid w:val="005454FF"/>
    <w:rsid w:val="00546E8F"/>
    <w:rsid w:val="00546EEB"/>
    <w:rsid w:val="00547BFE"/>
    <w:rsid w:val="00551CEB"/>
    <w:rsid w:val="0055424E"/>
    <w:rsid w:val="0055612D"/>
    <w:rsid w:val="0056297D"/>
    <w:rsid w:val="005645EA"/>
    <w:rsid w:val="00566902"/>
    <w:rsid w:val="00570730"/>
    <w:rsid w:val="0057136B"/>
    <w:rsid w:val="00572744"/>
    <w:rsid w:val="005728F8"/>
    <w:rsid w:val="005731D0"/>
    <w:rsid w:val="00574668"/>
    <w:rsid w:val="005764DA"/>
    <w:rsid w:val="0058034E"/>
    <w:rsid w:val="00580777"/>
    <w:rsid w:val="00580A0A"/>
    <w:rsid w:val="00583EC9"/>
    <w:rsid w:val="005868A7"/>
    <w:rsid w:val="00587766"/>
    <w:rsid w:val="0059175F"/>
    <w:rsid w:val="0059209F"/>
    <w:rsid w:val="0059235A"/>
    <w:rsid w:val="005970D2"/>
    <w:rsid w:val="005A3BF0"/>
    <w:rsid w:val="005A5483"/>
    <w:rsid w:val="005B6EEE"/>
    <w:rsid w:val="005C3056"/>
    <w:rsid w:val="005E15E4"/>
    <w:rsid w:val="005E28F7"/>
    <w:rsid w:val="005E3BC9"/>
    <w:rsid w:val="005E5E06"/>
    <w:rsid w:val="005E6054"/>
    <w:rsid w:val="005F12E0"/>
    <w:rsid w:val="005F41AD"/>
    <w:rsid w:val="00600230"/>
    <w:rsid w:val="00601E6A"/>
    <w:rsid w:val="00602038"/>
    <w:rsid w:val="00602FA9"/>
    <w:rsid w:val="00612EDF"/>
    <w:rsid w:val="00614265"/>
    <w:rsid w:val="00617482"/>
    <w:rsid w:val="0061786D"/>
    <w:rsid w:val="00624C7C"/>
    <w:rsid w:val="0063748F"/>
    <w:rsid w:val="00662985"/>
    <w:rsid w:val="00670863"/>
    <w:rsid w:val="00672258"/>
    <w:rsid w:val="00672369"/>
    <w:rsid w:val="0067311F"/>
    <w:rsid w:val="00683C7D"/>
    <w:rsid w:val="006844BE"/>
    <w:rsid w:val="00685249"/>
    <w:rsid w:val="00685DD2"/>
    <w:rsid w:val="006923DD"/>
    <w:rsid w:val="006A5283"/>
    <w:rsid w:val="006B73B3"/>
    <w:rsid w:val="006C28A8"/>
    <w:rsid w:val="006C2924"/>
    <w:rsid w:val="006D1824"/>
    <w:rsid w:val="006D6062"/>
    <w:rsid w:val="006E3147"/>
    <w:rsid w:val="006E7A64"/>
    <w:rsid w:val="006F492C"/>
    <w:rsid w:val="006F5028"/>
    <w:rsid w:val="006F7ABF"/>
    <w:rsid w:val="00700272"/>
    <w:rsid w:val="00712D36"/>
    <w:rsid w:val="00721299"/>
    <w:rsid w:val="0072564E"/>
    <w:rsid w:val="00725CA3"/>
    <w:rsid w:val="0072732E"/>
    <w:rsid w:val="00727BB3"/>
    <w:rsid w:val="00730AC7"/>
    <w:rsid w:val="00734A1E"/>
    <w:rsid w:val="007356C0"/>
    <w:rsid w:val="00736A46"/>
    <w:rsid w:val="00740589"/>
    <w:rsid w:val="007430C3"/>
    <w:rsid w:val="00751452"/>
    <w:rsid w:val="00754345"/>
    <w:rsid w:val="0075479A"/>
    <w:rsid w:val="00755B42"/>
    <w:rsid w:val="007571D3"/>
    <w:rsid w:val="007604A7"/>
    <w:rsid w:val="00766C77"/>
    <w:rsid w:val="0076792A"/>
    <w:rsid w:val="00772F66"/>
    <w:rsid w:val="007737F6"/>
    <w:rsid w:val="00774951"/>
    <w:rsid w:val="00775303"/>
    <w:rsid w:val="00781FD9"/>
    <w:rsid w:val="0078227A"/>
    <w:rsid w:val="00786C6C"/>
    <w:rsid w:val="00787328"/>
    <w:rsid w:val="0079035C"/>
    <w:rsid w:val="007A06F4"/>
    <w:rsid w:val="007A2085"/>
    <w:rsid w:val="007A3B1E"/>
    <w:rsid w:val="007A549C"/>
    <w:rsid w:val="007B337D"/>
    <w:rsid w:val="007B7F6D"/>
    <w:rsid w:val="007C00B5"/>
    <w:rsid w:val="007C0BB6"/>
    <w:rsid w:val="007C4FD3"/>
    <w:rsid w:val="007C7270"/>
    <w:rsid w:val="007D5DA6"/>
    <w:rsid w:val="007D6FB1"/>
    <w:rsid w:val="007E33E8"/>
    <w:rsid w:val="007E355E"/>
    <w:rsid w:val="007E4ACE"/>
    <w:rsid w:val="007E58B0"/>
    <w:rsid w:val="007F0880"/>
    <w:rsid w:val="007F17F4"/>
    <w:rsid w:val="007F637B"/>
    <w:rsid w:val="007F744F"/>
    <w:rsid w:val="00800579"/>
    <w:rsid w:val="00805216"/>
    <w:rsid w:val="00810CE6"/>
    <w:rsid w:val="0081125D"/>
    <w:rsid w:val="00814CD3"/>
    <w:rsid w:val="00814E54"/>
    <w:rsid w:val="008202F0"/>
    <w:rsid w:val="00825C59"/>
    <w:rsid w:val="00827A14"/>
    <w:rsid w:val="008309D1"/>
    <w:rsid w:val="00835185"/>
    <w:rsid w:val="008352CD"/>
    <w:rsid w:val="00843092"/>
    <w:rsid w:val="00845557"/>
    <w:rsid w:val="008461B1"/>
    <w:rsid w:val="00855BBE"/>
    <w:rsid w:val="00855BC8"/>
    <w:rsid w:val="008577AF"/>
    <w:rsid w:val="0086616D"/>
    <w:rsid w:val="00867016"/>
    <w:rsid w:val="00876F34"/>
    <w:rsid w:val="00877650"/>
    <w:rsid w:val="00877CCB"/>
    <w:rsid w:val="00882643"/>
    <w:rsid w:val="00882736"/>
    <w:rsid w:val="00891D89"/>
    <w:rsid w:val="0089226C"/>
    <w:rsid w:val="00895E77"/>
    <w:rsid w:val="008A0C84"/>
    <w:rsid w:val="008A1BF3"/>
    <w:rsid w:val="008A382A"/>
    <w:rsid w:val="008B04EF"/>
    <w:rsid w:val="008B288B"/>
    <w:rsid w:val="008B3F44"/>
    <w:rsid w:val="008B728A"/>
    <w:rsid w:val="008C330B"/>
    <w:rsid w:val="008C4B08"/>
    <w:rsid w:val="008D3F3D"/>
    <w:rsid w:val="008D47F0"/>
    <w:rsid w:val="008E475A"/>
    <w:rsid w:val="008E5125"/>
    <w:rsid w:val="008E5904"/>
    <w:rsid w:val="008E5A34"/>
    <w:rsid w:val="008E6290"/>
    <w:rsid w:val="008E777B"/>
    <w:rsid w:val="008F0505"/>
    <w:rsid w:val="008F276F"/>
    <w:rsid w:val="008F7798"/>
    <w:rsid w:val="008F77E8"/>
    <w:rsid w:val="00903EB6"/>
    <w:rsid w:val="00904B19"/>
    <w:rsid w:val="00905542"/>
    <w:rsid w:val="00911293"/>
    <w:rsid w:val="0091144C"/>
    <w:rsid w:val="00911953"/>
    <w:rsid w:val="00911CDC"/>
    <w:rsid w:val="00920780"/>
    <w:rsid w:val="00921216"/>
    <w:rsid w:val="00922EC2"/>
    <w:rsid w:val="00923CA1"/>
    <w:rsid w:val="00923FEF"/>
    <w:rsid w:val="00925501"/>
    <w:rsid w:val="00930CDB"/>
    <w:rsid w:val="00937578"/>
    <w:rsid w:val="00947470"/>
    <w:rsid w:val="00950755"/>
    <w:rsid w:val="0095348A"/>
    <w:rsid w:val="00953498"/>
    <w:rsid w:val="009548A4"/>
    <w:rsid w:val="0095605A"/>
    <w:rsid w:val="009644A8"/>
    <w:rsid w:val="00964631"/>
    <w:rsid w:val="00966B16"/>
    <w:rsid w:val="00970B7D"/>
    <w:rsid w:val="00973E09"/>
    <w:rsid w:val="00980DF9"/>
    <w:rsid w:val="00981B2D"/>
    <w:rsid w:val="00982E81"/>
    <w:rsid w:val="0098628C"/>
    <w:rsid w:val="00986DAE"/>
    <w:rsid w:val="00991E76"/>
    <w:rsid w:val="0099374A"/>
    <w:rsid w:val="00995DA1"/>
    <w:rsid w:val="009A5664"/>
    <w:rsid w:val="009A61E7"/>
    <w:rsid w:val="009A7467"/>
    <w:rsid w:val="009B3A5E"/>
    <w:rsid w:val="009B6A40"/>
    <w:rsid w:val="009C2297"/>
    <w:rsid w:val="009C3CFB"/>
    <w:rsid w:val="009C5ED5"/>
    <w:rsid w:val="009C6F97"/>
    <w:rsid w:val="009C76AA"/>
    <w:rsid w:val="009D0FEF"/>
    <w:rsid w:val="009D2A81"/>
    <w:rsid w:val="009E22F6"/>
    <w:rsid w:val="009E4ED2"/>
    <w:rsid w:val="009E6107"/>
    <w:rsid w:val="009E6957"/>
    <w:rsid w:val="009F15DB"/>
    <w:rsid w:val="009F39D2"/>
    <w:rsid w:val="009F529A"/>
    <w:rsid w:val="009F6B49"/>
    <w:rsid w:val="009F723E"/>
    <w:rsid w:val="00A02644"/>
    <w:rsid w:val="00A036DB"/>
    <w:rsid w:val="00A200E6"/>
    <w:rsid w:val="00A2033F"/>
    <w:rsid w:val="00A21FAA"/>
    <w:rsid w:val="00A30444"/>
    <w:rsid w:val="00A329DC"/>
    <w:rsid w:val="00A4303B"/>
    <w:rsid w:val="00A4647E"/>
    <w:rsid w:val="00A4661E"/>
    <w:rsid w:val="00A47375"/>
    <w:rsid w:val="00A54432"/>
    <w:rsid w:val="00A56576"/>
    <w:rsid w:val="00A5672D"/>
    <w:rsid w:val="00A613C5"/>
    <w:rsid w:val="00A66AD7"/>
    <w:rsid w:val="00A67243"/>
    <w:rsid w:val="00A7030B"/>
    <w:rsid w:val="00A706FE"/>
    <w:rsid w:val="00A71301"/>
    <w:rsid w:val="00A74B05"/>
    <w:rsid w:val="00A8203F"/>
    <w:rsid w:val="00A8556E"/>
    <w:rsid w:val="00A8665D"/>
    <w:rsid w:val="00A93A4C"/>
    <w:rsid w:val="00A952D7"/>
    <w:rsid w:val="00AB462B"/>
    <w:rsid w:val="00AB5E62"/>
    <w:rsid w:val="00AB5EAB"/>
    <w:rsid w:val="00AC1A85"/>
    <w:rsid w:val="00AC3381"/>
    <w:rsid w:val="00AC50B0"/>
    <w:rsid w:val="00AC5ED6"/>
    <w:rsid w:val="00AC69AD"/>
    <w:rsid w:val="00AD07FE"/>
    <w:rsid w:val="00AD0C41"/>
    <w:rsid w:val="00AD21CF"/>
    <w:rsid w:val="00AD6AF0"/>
    <w:rsid w:val="00AE1993"/>
    <w:rsid w:val="00AF703F"/>
    <w:rsid w:val="00AF712E"/>
    <w:rsid w:val="00B00C12"/>
    <w:rsid w:val="00B01695"/>
    <w:rsid w:val="00B054CD"/>
    <w:rsid w:val="00B06E97"/>
    <w:rsid w:val="00B07AEE"/>
    <w:rsid w:val="00B13622"/>
    <w:rsid w:val="00B1423B"/>
    <w:rsid w:val="00B1432A"/>
    <w:rsid w:val="00B1588D"/>
    <w:rsid w:val="00B20013"/>
    <w:rsid w:val="00B21A77"/>
    <w:rsid w:val="00B2347D"/>
    <w:rsid w:val="00B41916"/>
    <w:rsid w:val="00B42BA2"/>
    <w:rsid w:val="00B42F44"/>
    <w:rsid w:val="00B44798"/>
    <w:rsid w:val="00B50D0C"/>
    <w:rsid w:val="00B67CDE"/>
    <w:rsid w:val="00B72F8B"/>
    <w:rsid w:val="00B7307F"/>
    <w:rsid w:val="00B775BC"/>
    <w:rsid w:val="00B801FD"/>
    <w:rsid w:val="00B81235"/>
    <w:rsid w:val="00B813A9"/>
    <w:rsid w:val="00B82569"/>
    <w:rsid w:val="00B82E26"/>
    <w:rsid w:val="00B83600"/>
    <w:rsid w:val="00B85E65"/>
    <w:rsid w:val="00B90EB8"/>
    <w:rsid w:val="00B9258B"/>
    <w:rsid w:val="00B96389"/>
    <w:rsid w:val="00BA1159"/>
    <w:rsid w:val="00BA16E7"/>
    <w:rsid w:val="00BA2119"/>
    <w:rsid w:val="00BA2129"/>
    <w:rsid w:val="00BA485B"/>
    <w:rsid w:val="00BA602F"/>
    <w:rsid w:val="00BA6AD1"/>
    <w:rsid w:val="00BA6DC6"/>
    <w:rsid w:val="00BB31BB"/>
    <w:rsid w:val="00BB6BA8"/>
    <w:rsid w:val="00BB71EE"/>
    <w:rsid w:val="00BC09D9"/>
    <w:rsid w:val="00BC47F3"/>
    <w:rsid w:val="00BC6E71"/>
    <w:rsid w:val="00BE0BA8"/>
    <w:rsid w:val="00BF2536"/>
    <w:rsid w:val="00BF3C39"/>
    <w:rsid w:val="00BF7431"/>
    <w:rsid w:val="00BF7CB4"/>
    <w:rsid w:val="00C02F38"/>
    <w:rsid w:val="00C12284"/>
    <w:rsid w:val="00C22FF5"/>
    <w:rsid w:val="00C235CD"/>
    <w:rsid w:val="00C245A0"/>
    <w:rsid w:val="00C27119"/>
    <w:rsid w:val="00C276E8"/>
    <w:rsid w:val="00C315BD"/>
    <w:rsid w:val="00C32361"/>
    <w:rsid w:val="00C37E2C"/>
    <w:rsid w:val="00C42643"/>
    <w:rsid w:val="00C43BB2"/>
    <w:rsid w:val="00C53089"/>
    <w:rsid w:val="00C54C0B"/>
    <w:rsid w:val="00C56226"/>
    <w:rsid w:val="00C61AAF"/>
    <w:rsid w:val="00C63827"/>
    <w:rsid w:val="00C65B2D"/>
    <w:rsid w:val="00C6612F"/>
    <w:rsid w:val="00C6787E"/>
    <w:rsid w:val="00C70434"/>
    <w:rsid w:val="00C74864"/>
    <w:rsid w:val="00C818B8"/>
    <w:rsid w:val="00C85074"/>
    <w:rsid w:val="00C87D48"/>
    <w:rsid w:val="00CA08D6"/>
    <w:rsid w:val="00CA2722"/>
    <w:rsid w:val="00CA6663"/>
    <w:rsid w:val="00CB39F9"/>
    <w:rsid w:val="00CC0B0A"/>
    <w:rsid w:val="00CC1F6B"/>
    <w:rsid w:val="00CC383F"/>
    <w:rsid w:val="00CD0BD9"/>
    <w:rsid w:val="00CD0F75"/>
    <w:rsid w:val="00CD22D3"/>
    <w:rsid w:val="00CE04C5"/>
    <w:rsid w:val="00CE286B"/>
    <w:rsid w:val="00CE2A63"/>
    <w:rsid w:val="00CE3CDA"/>
    <w:rsid w:val="00CF008E"/>
    <w:rsid w:val="00CF1C7E"/>
    <w:rsid w:val="00CF1D2A"/>
    <w:rsid w:val="00CF2566"/>
    <w:rsid w:val="00CF523A"/>
    <w:rsid w:val="00CF537A"/>
    <w:rsid w:val="00CF6B17"/>
    <w:rsid w:val="00D009BF"/>
    <w:rsid w:val="00D06C58"/>
    <w:rsid w:val="00D11512"/>
    <w:rsid w:val="00D11BBC"/>
    <w:rsid w:val="00D129E2"/>
    <w:rsid w:val="00D153D8"/>
    <w:rsid w:val="00D1778A"/>
    <w:rsid w:val="00D17D0F"/>
    <w:rsid w:val="00D217DE"/>
    <w:rsid w:val="00D27364"/>
    <w:rsid w:val="00D27B6F"/>
    <w:rsid w:val="00D325F6"/>
    <w:rsid w:val="00D41903"/>
    <w:rsid w:val="00D42C5B"/>
    <w:rsid w:val="00D43001"/>
    <w:rsid w:val="00D43A0C"/>
    <w:rsid w:val="00D46E08"/>
    <w:rsid w:val="00D53E0B"/>
    <w:rsid w:val="00D56CB8"/>
    <w:rsid w:val="00D61772"/>
    <w:rsid w:val="00D70593"/>
    <w:rsid w:val="00D8083B"/>
    <w:rsid w:val="00D8116B"/>
    <w:rsid w:val="00D90B99"/>
    <w:rsid w:val="00D9116C"/>
    <w:rsid w:val="00D95D02"/>
    <w:rsid w:val="00D9648E"/>
    <w:rsid w:val="00D96526"/>
    <w:rsid w:val="00D96841"/>
    <w:rsid w:val="00DA0DDA"/>
    <w:rsid w:val="00DA2893"/>
    <w:rsid w:val="00DA6ACF"/>
    <w:rsid w:val="00DA6EFB"/>
    <w:rsid w:val="00DA7341"/>
    <w:rsid w:val="00DB11B7"/>
    <w:rsid w:val="00DB38F1"/>
    <w:rsid w:val="00DB58E4"/>
    <w:rsid w:val="00DB72B4"/>
    <w:rsid w:val="00DB77D8"/>
    <w:rsid w:val="00DD4A5A"/>
    <w:rsid w:val="00DD7226"/>
    <w:rsid w:val="00DE03B9"/>
    <w:rsid w:val="00DE10C3"/>
    <w:rsid w:val="00DE60BC"/>
    <w:rsid w:val="00DE7643"/>
    <w:rsid w:val="00DE774F"/>
    <w:rsid w:val="00DF31A2"/>
    <w:rsid w:val="00DF33EF"/>
    <w:rsid w:val="00DF4B37"/>
    <w:rsid w:val="00E048E4"/>
    <w:rsid w:val="00E04B11"/>
    <w:rsid w:val="00E064B8"/>
    <w:rsid w:val="00E10BD5"/>
    <w:rsid w:val="00E13B80"/>
    <w:rsid w:val="00E14B61"/>
    <w:rsid w:val="00E2113A"/>
    <w:rsid w:val="00E22E92"/>
    <w:rsid w:val="00E3238C"/>
    <w:rsid w:val="00E33C04"/>
    <w:rsid w:val="00E34251"/>
    <w:rsid w:val="00E40378"/>
    <w:rsid w:val="00E44EBF"/>
    <w:rsid w:val="00E4639E"/>
    <w:rsid w:val="00E50DC7"/>
    <w:rsid w:val="00E512D9"/>
    <w:rsid w:val="00E5244E"/>
    <w:rsid w:val="00E5511D"/>
    <w:rsid w:val="00E55513"/>
    <w:rsid w:val="00E56630"/>
    <w:rsid w:val="00E60A59"/>
    <w:rsid w:val="00E61267"/>
    <w:rsid w:val="00E65236"/>
    <w:rsid w:val="00E7423D"/>
    <w:rsid w:val="00E7604B"/>
    <w:rsid w:val="00E765E5"/>
    <w:rsid w:val="00E814C1"/>
    <w:rsid w:val="00E826EC"/>
    <w:rsid w:val="00E840AD"/>
    <w:rsid w:val="00E8587B"/>
    <w:rsid w:val="00E87CE2"/>
    <w:rsid w:val="00E911D3"/>
    <w:rsid w:val="00E912B6"/>
    <w:rsid w:val="00E92835"/>
    <w:rsid w:val="00E9722C"/>
    <w:rsid w:val="00EA27E1"/>
    <w:rsid w:val="00EA37CA"/>
    <w:rsid w:val="00EC3F98"/>
    <w:rsid w:val="00ED0E7E"/>
    <w:rsid w:val="00ED23FB"/>
    <w:rsid w:val="00ED279C"/>
    <w:rsid w:val="00ED63DD"/>
    <w:rsid w:val="00ED6644"/>
    <w:rsid w:val="00ED70D3"/>
    <w:rsid w:val="00EE067E"/>
    <w:rsid w:val="00EE1A23"/>
    <w:rsid w:val="00EE78EE"/>
    <w:rsid w:val="00EF2B7C"/>
    <w:rsid w:val="00EF6466"/>
    <w:rsid w:val="00EF7A1D"/>
    <w:rsid w:val="00F006EB"/>
    <w:rsid w:val="00F00AE3"/>
    <w:rsid w:val="00F07D26"/>
    <w:rsid w:val="00F12001"/>
    <w:rsid w:val="00F1271F"/>
    <w:rsid w:val="00F308FA"/>
    <w:rsid w:val="00F31832"/>
    <w:rsid w:val="00F32852"/>
    <w:rsid w:val="00F33030"/>
    <w:rsid w:val="00F40336"/>
    <w:rsid w:val="00F443D2"/>
    <w:rsid w:val="00F45008"/>
    <w:rsid w:val="00F52DB6"/>
    <w:rsid w:val="00F57B0A"/>
    <w:rsid w:val="00F63780"/>
    <w:rsid w:val="00F72723"/>
    <w:rsid w:val="00F727E5"/>
    <w:rsid w:val="00F737ED"/>
    <w:rsid w:val="00F737F5"/>
    <w:rsid w:val="00F74283"/>
    <w:rsid w:val="00F7501E"/>
    <w:rsid w:val="00F7525E"/>
    <w:rsid w:val="00F8151B"/>
    <w:rsid w:val="00F8247E"/>
    <w:rsid w:val="00F87444"/>
    <w:rsid w:val="00F92196"/>
    <w:rsid w:val="00F94FDA"/>
    <w:rsid w:val="00F954C4"/>
    <w:rsid w:val="00F954CD"/>
    <w:rsid w:val="00F954E5"/>
    <w:rsid w:val="00F96446"/>
    <w:rsid w:val="00FA0B70"/>
    <w:rsid w:val="00FA0FFC"/>
    <w:rsid w:val="00FA19E0"/>
    <w:rsid w:val="00FA2960"/>
    <w:rsid w:val="00FA5DC6"/>
    <w:rsid w:val="00FB0114"/>
    <w:rsid w:val="00FB2EB3"/>
    <w:rsid w:val="00FC25DD"/>
    <w:rsid w:val="00FC562F"/>
    <w:rsid w:val="00FC6DF3"/>
    <w:rsid w:val="00FC7395"/>
    <w:rsid w:val="00FD755F"/>
    <w:rsid w:val="00FD7BE8"/>
    <w:rsid w:val="00FE3B5E"/>
    <w:rsid w:val="00FF429D"/>
    <w:rsid w:val="00FF57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E9A3B"/>
  <w15:docId w15:val="{041997D0-FBA0-4E54-9813-7F9DCD79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7E"/>
    <w:rPr>
      <w:lang w:val="es-EC"/>
    </w:rPr>
  </w:style>
  <w:style w:type="paragraph" w:styleId="Ttulo1">
    <w:name w:val="heading 1"/>
    <w:basedOn w:val="Normal"/>
    <w:link w:val="Ttulo1Car"/>
    <w:uiPriority w:val="9"/>
    <w:qFormat/>
    <w:rsid w:val="00326414"/>
    <w:pPr>
      <w:spacing w:before="100" w:beforeAutospacing="1" w:after="100" w:afterAutospacing="1"/>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0E7E"/>
    <w:rPr>
      <w:color w:val="0563C1" w:themeColor="hyperlink"/>
      <w:u w:val="single"/>
    </w:rPr>
  </w:style>
  <w:style w:type="character" w:styleId="Textoennegrita">
    <w:name w:val="Strong"/>
    <w:basedOn w:val="Fuentedeprrafopredeter"/>
    <w:uiPriority w:val="22"/>
    <w:qFormat/>
    <w:rsid w:val="00E064B8"/>
    <w:rPr>
      <w:b/>
      <w:bCs/>
    </w:rPr>
  </w:style>
  <w:style w:type="character" w:customStyle="1" w:styleId="muibutton-label">
    <w:name w:val="muibutton-label"/>
    <w:basedOn w:val="Fuentedeprrafopredeter"/>
    <w:rsid w:val="005308D6"/>
  </w:style>
  <w:style w:type="paragraph" w:styleId="Prrafodelista">
    <w:name w:val="List Paragraph"/>
    <w:basedOn w:val="Normal"/>
    <w:uiPriority w:val="34"/>
    <w:qFormat/>
    <w:rsid w:val="00CE04C5"/>
    <w:pPr>
      <w:spacing w:line="254" w:lineRule="auto"/>
      <w:ind w:left="720"/>
      <w:contextualSpacing/>
    </w:pPr>
  </w:style>
  <w:style w:type="paragraph" w:styleId="NormalWeb">
    <w:name w:val="Normal (Web)"/>
    <w:basedOn w:val="Normal"/>
    <w:uiPriority w:val="99"/>
    <w:semiHidden/>
    <w:unhideWhenUsed/>
    <w:rsid w:val="009A7467"/>
    <w:pPr>
      <w:spacing w:before="100" w:beforeAutospacing="1" w:after="100" w:afterAutospacing="1"/>
    </w:pPr>
    <w:rPr>
      <w:rFonts w:ascii="Times New Roman" w:eastAsia="Times New Roman" w:hAnsi="Times New Roman" w:cs="Times New Roman"/>
      <w:sz w:val="24"/>
      <w:szCs w:val="24"/>
      <w:lang w:val="en-US"/>
    </w:rPr>
  </w:style>
  <w:style w:type="paragraph" w:styleId="HTMLconformatoprevio">
    <w:name w:val="HTML Preformatted"/>
    <w:basedOn w:val="Normal"/>
    <w:link w:val="HTMLconformatoprevioCar"/>
    <w:uiPriority w:val="99"/>
    <w:unhideWhenUsed/>
    <w:rsid w:val="00114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114599"/>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8B728A"/>
    <w:rPr>
      <w:sz w:val="20"/>
      <w:szCs w:val="20"/>
    </w:rPr>
  </w:style>
  <w:style w:type="character" w:customStyle="1" w:styleId="TextonotapieCar">
    <w:name w:val="Texto nota pie Car"/>
    <w:basedOn w:val="Fuentedeprrafopredeter"/>
    <w:link w:val="Textonotapie"/>
    <w:uiPriority w:val="99"/>
    <w:semiHidden/>
    <w:rsid w:val="008B728A"/>
    <w:rPr>
      <w:sz w:val="20"/>
      <w:szCs w:val="20"/>
      <w:lang w:val="es-EC"/>
    </w:rPr>
  </w:style>
  <w:style w:type="character" w:styleId="Refdenotaalpie">
    <w:name w:val="footnote reference"/>
    <w:basedOn w:val="Fuentedeprrafopredeter"/>
    <w:uiPriority w:val="99"/>
    <w:semiHidden/>
    <w:unhideWhenUsed/>
    <w:rsid w:val="008B728A"/>
    <w:rPr>
      <w:vertAlign w:val="superscript"/>
    </w:rPr>
  </w:style>
  <w:style w:type="paragraph" w:styleId="Encabezado">
    <w:name w:val="header"/>
    <w:basedOn w:val="Normal"/>
    <w:link w:val="EncabezadoCar"/>
    <w:uiPriority w:val="99"/>
    <w:unhideWhenUsed/>
    <w:rsid w:val="00855BC8"/>
    <w:pPr>
      <w:tabs>
        <w:tab w:val="center" w:pos="4252"/>
        <w:tab w:val="right" w:pos="8504"/>
      </w:tabs>
    </w:pPr>
  </w:style>
  <w:style w:type="character" w:customStyle="1" w:styleId="EncabezadoCar">
    <w:name w:val="Encabezado Car"/>
    <w:basedOn w:val="Fuentedeprrafopredeter"/>
    <w:link w:val="Encabezado"/>
    <w:uiPriority w:val="99"/>
    <w:rsid w:val="00855BC8"/>
    <w:rPr>
      <w:lang w:val="es-EC"/>
    </w:rPr>
  </w:style>
  <w:style w:type="paragraph" w:styleId="Piedepgina">
    <w:name w:val="footer"/>
    <w:basedOn w:val="Normal"/>
    <w:link w:val="PiedepginaCar"/>
    <w:uiPriority w:val="99"/>
    <w:unhideWhenUsed/>
    <w:rsid w:val="00855BC8"/>
    <w:pPr>
      <w:tabs>
        <w:tab w:val="center" w:pos="4252"/>
        <w:tab w:val="right" w:pos="8504"/>
      </w:tabs>
    </w:pPr>
  </w:style>
  <w:style w:type="character" w:customStyle="1" w:styleId="PiedepginaCar">
    <w:name w:val="Pie de página Car"/>
    <w:basedOn w:val="Fuentedeprrafopredeter"/>
    <w:link w:val="Piedepgina"/>
    <w:uiPriority w:val="99"/>
    <w:rsid w:val="00855BC8"/>
    <w:rPr>
      <w:lang w:val="es-EC"/>
    </w:rPr>
  </w:style>
  <w:style w:type="character" w:customStyle="1" w:styleId="Mencinsinresolver1">
    <w:name w:val="Mención sin resolver1"/>
    <w:basedOn w:val="Fuentedeprrafopredeter"/>
    <w:uiPriority w:val="99"/>
    <w:semiHidden/>
    <w:unhideWhenUsed/>
    <w:rsid w:val="00F308FA"/>
    <w:rPr>
      <w:color w:val="605E5C"/>
      <w:shd w:val="clear" w:color="auto" w:fill="E1DFDD"/>
    </w:rPr>
  </w:style>
  <w:style w:type="character" w:styleId="Hipervnculovisitado">
    <w:name w:val="FollowedHyperlink"/>
    <w:basedOn w:val="Fuentedeprrafopredeter"/>
    <w:uiPriority w:val="99"/>
    <w:semiHidden/>
    <w:unhideWhenUsed/>
    <w:rsid w:val="006923DD"/>
    <w:rPr>
      <w:color w:val="954F72" w:themeColor="followedHyperlink"/>
      <w:u w:val="single"/>
    </w:rPr>
  </w:style>
  <w:style w:type="paragraph" w:styleId="Textoindependiente">
    <w:name w:val="Body Text"/>
    <w:basedOn w:val="Normal"/>
    <w:link w:val="TextoindependienteCar"/>
    <w:uiPriority w:val="1"/>
    <w:qFormat/>
    <w:rsid w:val="00982E81"/>
    <w:pPr>
      <w:widowControl w:val="0"/>
      <w:autoSpaceDE w:val="0"/>
      <w:autoSpaceDN w:val="0"/>
      <w:ind w:left="100"/>
    </w:pPr>
    <w:rPr>
      <w:rFonts w:ascii="Verdana" w:eastAsia="Verdana" w:hAnsi="Verdana" w:cs="Verdana"/>
      <w:sz w:val="28"/>
      <w:szCs w:val="28"/>
      <w:lang w:val="es-ES"/>
    </w:rPr>
  </w:style>
  <w:style w:type="character" w:customStyle="1" w:styleId="TextoindependienteCar">
    <w:name w:val="Texto independiente Car"/>
    <w:basedOn w:val="Fuentedeprrafopredeter"/>
    <w:link w:val="Textoindependiente"/>
    <w:uiPriority w:val="1"/>
    <w:rsid w:val="00982E81"/>
    <w:rPr>
      <w:rFonts w:ascii="Verdana" w:eastAsia="Verdana" w:hAnsi="Verdana" w:cs="Verdana"/>
      <w:sz w:val="28"/>
      <w:szCs w:val="28"/>
      <w:lang w:val="es-ES"/>
    </w:rPr>
  </w:style>
  <w:style w:type="table" w:styleId="Tablaconcuadrcula">
    <w:name w:val="Table Grid"/>
    <w:basedOn w:val="Tablanormal"/>
    <w:uiPriority w:val="39"/>
    <w:rsid w:val="00995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95DA1"/>
    <w:pPr>
      <w:widowControl w:val="0"/>
      <w:autoSpaceDE w:val="0"/>
      <w:autoSpaceDN w:val="0"/>
      <w:spacing w:before="216"/>
      <w:ind w:left="100"/>
    </w:pPr>
    <w:rPr>
      <w:rFonts w:ascii="Verdana" w:eastAsia="Verdana" w:hAnsi="Verdana" w:cs="Verdana"/>
      <w:lang w:val="es-ES"/>
    </w:rPr>
  </w:style>
  <w:style w:type="character" w:customStyle="1" w:styleId="y2iqfc">
    <w:name w:val="y2iqfc"/>
    <w:basedOn w:val="Fuentedeprrafopredeter"/>
    <w:rsid w:val="00000515"/>
  </w:style>
  <w:style w:type="paragraph" w:styleId="Textodeglobo">
    <w:name w:val="Balloon Text"/>
    <w:basedOn w:val="Normal"/>
    <w:link w:val="TextodegloboCar"/>
    <w:uiPriority w:val="99"/>
    <w:semiHidden/>
    <w:unhideWhenUsed/>
    <w:rsid w:val="00BA6AD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AD1"/>
    <w:rPr>
      <w:rFonts w:ascii="Tahoma" w:hAnsi="Tahoma" w:cs="Tahoma"/>
      <w:sz w:val="16"/>
      <w:szCs w:val="16"/>
      <w:lang w:val="es-EC"/>
    </w:rPr>
  </w:style>
  <w:style w:type="paragraph" w:customStyle="1" w:styleId="Default">
    <w:name w:val="Default"/>
    <w:rsid w:val="008E5A34"/>
    <w:pPr>
      <w:autoSpaceDE w:val="0"/>
      <w:autoSpaceDN w:val="0"/>
      <w:adjustRightInd w:val="0"/>
    </w:pPr>
    <w:rPr>
      <w:rFonts w:ascii="Times New Roman" w:hAnsi="Times New Roman" w:cs="Times New Roman"/>
      <w:color w:val="000000"/>
      <w:sz w:val="24"/>
      <w:szCs w:val="24"/>
      <w:lang w:val="es-EC"/>
    </w:rPr>
  </w:style>
  <w:style w:type="character" w:customStyle="1" w:styleId="Ttulo1Car">
    <w:name w:val="Título 1 Car"/>
    <w:basedOn w:val="Fuentedeprrafopredeter"/>
    <w:link w:val="Ttulo1"/>
    <w:uiPriority w:val="9"/>
    <w:rsid w:val="00326414"/>
    <w:rPr>
      <w:rFonts w:ascii="Times New Roman" w:eastAsia="Times New Roman" w:hAnsi="Times New Roman" w:cs="Times New Roman"/>
      <w:b/>
      <w:bCs/>
      <w:kern w:val="36"/>
      <w:sz w:val="48"/>
      <w:szCs w:val="48"/>
      <w:lang w:val="es-EC" w:eastAsia="es-EC"/>
    </w:rPr>
  </w:style>
  <w:style w:type="table" w:customStyle="1" w:styleId="Tablanormal21">
    <w:name w:val="Tabla normal 21"/>
    <w:basedOn w:val="Tablanormal"/>
    <w:uiPriority w:val="42"/>
    <w:rsid w:val="00F727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231629"/>
    <w:rPr>
      <w:color w:val="605E5C"/>
      <w:shd w:val="clear" w:color="auto" w:fill="E1DFDD"/>
    </w:rPr>
  </w:style>
  <w:style w:type="character" w:styleId="Refdecomentario">
    <w:name w:val="annotation reference"/>
    <w:basedOn w:val="Fuentedeprrafopredeter"/>
    <w:uiPriority w:val="99"/>
    <w:semiHidden/>
    <w:unhideWhenUsed/>
    <w:rsid w:val="00D95D02"/>
    <w:rPr>
      <w:sz w:val="16"/>
      <w:szCs w:val="16"/>
    </w:rPr>
  </w:style>
  <w:style w:type="paragraph" w:styleId="Textocomentario">
    <w:name w:val="annotation text"/>
    <w:basedOn w:val="Normal"/>
    <w:link w:val="TextocomentarioCar"/>
    <w:uiPriority w:val="99"/>
    <w:unhideWhenUsed/>
    <w:rsid w:val="00D95D02"/>
    <w:rPr>
      <w:sz w:val="20"/>
      <w:szCs w:val="20"/>
    </w:rPr>
  </w:style>
  <w:style w:type="character" w:customStyle="1" w:styleId="TextocomentarioCar">
    <w:name w:val="Texto comentario Car"/>
    <w:basedOn w:val="Fuentedeprrafopredeter"/>
    <w:link w:val="Textocomentario"/>
    <w:uiPriority w:val="99"/>
    <w:rsid w:val="00D95D02"/>
    <w:rPr>
      <w:sz w:val="20"/>
      <w:szCs w:val="20"/>
      <w:lang w:val="es-EC"/>
    </w:rPr>
  </w:style>
  <w:style w:type="paragraph" w:styleId="Revisin">
    <w:name w:val="Revision"/>
    <w:hidden/>
    <w:uiPriority w:val="99"/>
    <w:semiHidden/>
    <w:rsid w:val="00D27B6F"/>
    <w:rPr>
      <w:lang w:val="es-EC"/>
    </w:rPr>
  </w:style>
  <w:style w:type="paragraph" w:styleId="Asuntodelcomentario">
    <w:name w:val="annotation subject"/>
    <w:basedOn w:val="Textocomentario"/>
    <w:next w:val="Textocomentario"/>
    <w:link w:val="AsuntodelcomentarioCar"/>
    <w:uiPriority w:val="99"/>
    <w:semiHidden/>
    <w:unhideWhenUsed/>
    <w:rsid w:val="00F737ED"/>
    <w:rPr>
      <w:b/>
      <w:bCs/>
    </w:rPr>
  </w:style>
  <w:style w:type="character" w:customStyle="1" w:styleId="AsuntodelcomentarioCar">
    <w:name w:val="Asunto del comentario Car"/>
    <w:basedOn w:val="TextocomentarioCar"/>
    <w:link w:val="Asuntodelcomentario"/>
    <w:uiPriority w:val="99"/>
    <w:semiHidden/>
    <w:rsid w:val="00F737ED"/>
    <w:rPr>
      <w:b/>
      <w:bCs/>
      <w:sz w:val="20"/>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816">
      <w:bodyDiv w:val="1"/>
      <w:marLeft w:val="0"/>
      <w:marRight w:val="0"/>
      <w:marTop w:val="0"/>
      <w:marBottom w:val="0"/>
      <w:divBdr>
        <w:top w:val="none" w:sz="0" w:space="0" w:color="auto"/>
        <w:left w:val="none" w:sz="0" w:space="0" w:color="auto"/>
        <w:bottom w:val="none" w:sz="0" w:space="0" w:color="auto"/>
        <w:right w:val="none" w:sz="0" w:space="0" w:color="auto"/>
      </w:divBdr>
      <w:divsChild>
        <w:div w:id="1460494950">
          <w:marLeft w:val="0"/>
          <w:marRight w:val="0"/>
          <w:marTop w:val="0"/>
          <w:marBottom w:val="0"/>
          <w:divBdr>
            <w:top w:val="none" w:sz="0" w:space="0" w:color="auto"/>
            <w:left w:val="none" w:sz="0" w:space="0" w:color="auto"/>
            <w:bottom w:val="none" w:sz="0" w:space="0" w:color="auto"/>
            <w:right w:val="none" w:sz="0" w:space="0" w:color="auto"/>
          </w:divBdr>
        </w:div>
      </w:divsChild>
    </w:div>
    <w:div w:id="206380717">
      <w:bodyDiv w:val="1"/>
      <w:marLeft w:val="0"/>
      <w:marRight w:val="0"/>
      <w:marTop w:val="0"/>
      <w:marBottom w:val="0"/>
      <w:divBdr>
        <w:top w:val="none" w:sz="0" w:space="0" w:color="auto"/>
        <w:left w:val="none" w:sz="0" w:space="0" w:color="auto"/>
        <w:bottom w:val="none" w:sz="0" w:space="0" w:color="auto"/>
        <w:right w:val="none" w:sz="0" w:space="0" w:color="auto"/>
      </w:divBdr>
    </w:div>
    <w:div w:id="282661033">
      <w:bodyDiv w:val="1"/>
      <w:marLeft w:val="0"/>
      <w:marRight w:val="0"/>
      <w:marTop w:val="0"/>
      <w:marBottom w:val="0"/>
      <w:divBdr>
        <w:top w:val="none" w:sz="0" w:space="0" w:color="auto"/>
        <w:left w:val="none" w:sz="0" w:space="0" w:color="auto"/>
        <w:bottom w:val="none" w:sz="0" w:space="0" w:color="auto"/>
        <w:right w:val="none" w:sz="0" w:space="0" w:color="auto"/>
      </w:divBdr>
      <w:divsChild>
        <w:div w:id="2027362774">
          <w:marLeft w:val="-480"/>
          <w:marRight w:val="-480"/>
          <w:marTop w:val="0"/>
          <w:marBottom w:val="0"/>
          <w:divBdr>
            <w:top w:val="none" w:sz="0" w:space="0" w:color="auto"/>
            <w:left w:val="none" w:sz="0" w:space="0" w:color="auto"/>
            <w:bottom w:val="none" w:sz="0" w:space="0" w:color="auto"/>
            <w:right w:val="none" w:sz="0" w:space="0" w:color="auto"/>
          </w:divBdr>
          <w:divsChild>
            <w:div w:id="275185927">
              <w:marLeft w:val="0"/>
              <w:marRight w:val="0"/>
              <w:marTop w:val="0"/>
              <w:marBottom w:val="0"/>
              <w:divBdr>
                <w:top w:val="none" w:sz="0" w:space="0" w:color="auto"/>
                <w:left w:val="none" w:sz="0" w:space="0" w:color="auto"/>
                <w:bottom w:val="none" w:sz="0" w:space="0" w:color="auto"/>
                <w:right w:val="none" w:sz="0" w:space="0" w:color="auto"/>
              </w:divBdr>
              <w:divsChild>
                <w:div w:id="4433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8378">
      <w:bodyDiv w:val="1"/>
      <w:marLeft w:val="0"/>
      <w:marRight w:val="0"/>
      <w:marTop w:val="0"/>
      <w:marBottom w:val="0"/>
      <w:divBdr>
        <w:top w:val="none" w:sz="0" w:space="0" w:color="auto"/>
        <w:left w:val="none" w:sz="0" w:space="0" w:color="auto"/>
        <w:bottom w:val="none" w:sz="0" w:space="0" w:color="auto"/>
        <w:right w:val="none" w:sz="0" w:space="0" w:color="auto"/>
      </w:divBdr>
    </w:div>
    <w:div w:id="523634191">
      <w:bodyDiv w:val="1"/>
      <w:marLeft w:val="0"/>
      <w:marRight w:val="0"/>
      <w:marTop w:val="0"/>
      <w:marBottom w:val="0"/>
      <w:divBdr>
        <w:top w:val="none" w:sz="0" w:space="0" w:color="auto"/>
        <w:left w:val="none" w:sz="0" w:space="0" w:color="auto"/>
        <w:bottom w:val="none" w:sz="0" w:space="0" w:color="auto"/>
        <w:right w:val="none" w:sz="0" w:space="0" w:color="auto"/>
      </w:divBdr>
    </w:div>
    <w:div w:id="533687984">
      <w:bodyDiv w:val="1"/>
      <w:marLeft w:val="0"/>
      <w:marRight w:val="0"/>
      <w:marTop w:val="0"/>
      <w:marBottom w:val="0"/>
      <w:divBdr>
        <w:top w:val="none" w:sz="0" w:space="0" w:color="auto"/>
        <w:left w:val="none" w:sz="0" w:space="0" w:color="auto"/>
        <w:bottom w:val="none" w:sz="0" w:space="0" w:color="auto"/>
        <w:right w:val="none" w:sz="0" w:space="0" w:color="auto"/>
      </w:divBdr>
      <w:divsChild>
        <w:div w:id="869537367">
          <w:marLeft w:val="-480"/>
          <w:marRight w:val="-480"/>
          <w:marTop w:val="0"/>
          <w:marBottom w:val="0"/>
          <w:divBdr>
            <w:top w:val="none" w:sz="0" w:space="0" w:color="auto"/>
            <w:left w:val="none" w:sz="0" w:space="0" w:color="auto"/>
            <w:bottom w:val="none" w:sz="0" w:space="0" w:color="auto"/>
            <w:right w:val="none" w:sz="0" w:space="0" w:color="auto"/>
          </w:divBdr>
          <w:divsChild>
            <w:div w:id="444036292">
              <w:marLeft w:val="0"/>
              <w:marRight w:val="0"/>
              <w:marTop w:val="0"/>
              <w:marBottom w:val="0"/>
              <w:divBdr>
                <w:top w:val="none" w:sz="0" w:space="0" w:color="auto"/>
                <w:left w:val="none" w:sz="0" w:space="0" w:color="auto"/>
                <w:bottom w:val="none" w:sz="0" w:space="0" w:color="auto"/>
                <w:right w:val="none" w:sz="0" w:space="0" w:color="auto"/>
              </w:divBdr>
              <w:divsChild>
                <w:div w:id="15245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36115">
      <w:bodyDiv w:val="1"/>
      <w:marLeft w:val="0"/>
      <w:marRight w:val="0"/>
      <w:marTop w:val="0"/>
      <w:marBottom w:val="0"/>
      <w:divBdr>
        <w:top w:val="none" w:sz="0" w:space="0" w:color="auto"/>
        <w:left w:val="none" w:sz="0" w:space="0" w:color="auto"/>
        <w:bottom w:val="none" w:sz="0" w:space="0" w:color="auto"/>
        <w:right w:val="none" w:sz="0" w:space="0" w:color="auto"/>
      </w:divBdr>
    </w:div>
    <w:div w:id="644049708">
      <w:bodyDiv w:val="1"/>
      <w:marLeft w:val="0"/>
      <w:marRight w:val="0"/>
      <w:marTop w:val="0"/>
      <w:marBottom w:val="0"/>
      <w:divBdr>
        <w:top w:val="none" w:sz="0" w:space="0" w:color="auto"/>
        <w:left w:val="none" w:sz="0" w:space="0" w:color="auto"/>
        <w:bottom w:val="none" w:sz="0" w:space="0" w:color="auto"/>
        <w:right w:val="none" w:sz="0" w:space="0" w:color="auto"/>
      </w:divBdr>
      <w:divsChild>
        <w:div w:id="1920942819">
          <w:marLeft w:val="0"/>
          <w:marRight w:val="0"/>
          <w:marTop w:val="0"/>
          <w:marBottom w:val="0"/>
          <w:divBdr>
            <w:top w:val="none" w:sz="0" w:space="0" w:color="auto"/>
            <w:left w:val="none" w:sz="0" w:space="0" w:color="auto"/>
            <w:bottom w:val="none" w:sz="0" w:space="0" w:color="auto"/>
            <w:right w:val="none" w:sz="0" w:space="0" w:color="auto"/>
          </w:divBdr>
          <w:divsChild>
            <w:div w:id="1935743471">
              <w:marLeft w:val="0"/>
              <w:marRight w:val="0"/>
              <w:marTop w:val="0"/>
              <w:marBottom w:val="0"/>
              <w:divBdr>
                <w:top w:val="none" w:sz="0" w:space="0" w:color="auto"/>
                <w:left w:val="none" w:sz="0" w:space="0" w:color="auto"/>
                <w:bottom w:val="none" w:sz="0" w:space="0" w:color="auto"/>
                <w:right w:val="none" w:sz="0" w:space="0" w:color="auto"/>
              </w:divBdr>
              <w:divsChild>
                <w:div w:id="1626156078">
                  <w:marLeft w:val="0"/>
                  <w:marRight w:val="0"/>
                  <w:marTop w:val="0"/>
                  <w:marBottom w:val="0"/>
                  <w:divBdr>
                    <w:top w:val="none" w:sz="0" w:space="0" w:color="auto"/>
                    <w:left w:val="none" w:sz="0" w:space="0" w:color="auto"/>
                    <w:bottom w:val="none" w:sz="0" w:space="0" w:color="auto"/>
                    <w:right w:val="none" w:sz="0" w:space="0" w:color="auto"/>
                  </w:divBdr>
                  <w:divsChild>
                    <w:div w:id="5391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9964">
      <w:bodyDiv w:val="1"/>
      <w:marLeft w:val="0"/>
      <w:marRight w:val="0"/>
      <w:marTop w:val="0"/>
      <w:marBottom w:val="0"/>
      <w:divBdr>
        <w:top w:val="none" w:sz="0" w:space="0" w:color="auto"/>
        <w:left w:val="none" w:sz="0" w:space="0" w:color="auto"/>
        <w:bottom w:val="none" w:sz="0" w:space="0" w:color="auto"/>
        <w:right w:val="none" w:sz="0" w:space="0" w:color="auto"/>
      </w:divBdr>
    </w:div>
    <w:div w:id="913859126">
      <w:bodyDiv w:val="1"/>
      <w:marLeft w:val="0"/>
      <w:marRight w:val="0"/>
      <w:marTop w:val="0"/>
      <w:marBottom w:val="0"/>
      <w:divBdr>
        <w:top w:val="none" w:sz="0" w:space="0" w:color="auto"/>
        <w:left w:val="none" w:sz="0" w:space="0" w:color="auto"/>
        <w:bottom w:val="none" w:sz="0" w:space="0" w:color="auto"/>
        <w:right w:val="none" w:sz="0" w:space="0" w:color="auto"/>
      </w:divBdr>
      <w:divsChild>
        <w:div w:id="1669287909">
          <w:marLeft w:val="-480"/>
          <w:marRight w:val="-480"/>
          <w:marTop w:val="0"/>
          <w:marBottom w:val="0"/>
          <w:divBdr>
            <w:top w:val="none" w:sz="0" w:space="0" w:color="auto"/>
            <w:left w:val="none" w:sz="0" w:space="0" w:color="auto"/>
            <w:bottom w:val="none" w:sz="0" w:space="0" w:color="auto"/>
            <w:right w:val="none" w:sz="0" w:space="0" w:color="auto"/>
          </w:divBdr>
          <w:divsChild>
            <w:div w:id="1582374696">
              <w:marLeft w:val="0"/>
              <w:marRight w:val="0"/>
              <w:marTop w:val="0"/>
              <w:marBottom w:val="0"/>
              <w:divBdr>
                <w:top w:val="none" w:sz="0" w:space="0" w:color="auto"/>
                <w:left w:val="none" w:sz="0" w:space="0" w:color="auto"/>
                <w:bottom w:val="none" w:sz="0" w:space="0" w:color="auto"/>
                <w:right w:val="none" w:sz="0" w:space="0" w:color="auto"/>
              </w:divBdr>
              <w:divsChild>
                <w:div w:id="15488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26442">
      <w:bodyDiv w:val="1"/>
      <w:marLeft w:val="0"/>
      <w:marRight w:val="0"/>
      <w:marTop w:val="0"/>
      <w:marBottom w:val="0"/>
      <w:divBdr>
        <w:top w:val="none" w:sz="0" w:space="0" w:color="auto"/>
        <w:left w:val="none" w:sz="0" w:space="0" w:color="auto"/>
        <w:bottom w:val="none" w:sz="0" w:space="0" w:color="auto"/>
        <w:right w:val="none" w:sz="0" w:space="0" w:color="auto"/>
      </w:divBdr>
      <w:divsChild>
        <w:div w:id="1972520453">
          <w:marLeft w:val="0"/>
          <w:marRight w:val="0"/>
          <w:marTop w:val="0"/>
          <w:marBottom w:val="0"/>
          <w:divBdr>
            <w:top w:val="none" w:sz="0" w:space="0" w:color="auto"/>
            <w:left w:val="none" w:sz="0" w:space="0" w:color="auto"/>
            <w:bottom w:val="none" w:sz="0" w:space="0" w:color="auto"/>
            <w:right w:val="none" w:sz="0" w:space="0" w:color="auto"/>
          </w:divBdr>
          <w:divsChild>
            <w:div w:id="902444025">
              <w:marLeft w:val="0"/>
              <w:marRight w:val="0"/>
              <w:marTop w:val="0"/>
              <w:marBottom w:val="0"/>
              <w:divBdr>
                <w:top w:val="none" w:sz="0" w:space="0" w:color="auto"/>
                <w:left w:val="none" w:sz="0" w:space="0" w:color="auto"/>
                <w:bottom w:val="none" w:sz="0" w:space="0" w:color="auto"/>
                <w:right w:val="none" w:sz="0" w:space="0" w:color="auto"/>
              </w:divBdr>
              <w:divsChild>
                <w:div w:id="1548570397">
                  <w:marLeft w:val="0"/>
                  <w:marRight w:val="0"/>
                  <w:marTop w:val="0"/>
                  <w:marBottom w:val="0"/>
                  <w:divBdr>
                    <w:top w:val="none" w:sz="0" w:space="0" w:color="auto"/>
                    <w:left w:val="none" w:sz="0" w:space="0" w:color="auto"/>
                    <w:bottom w:val="none" w:sz="0" w:space="0" w:color="auto"/>
                    <w:right w:val="none" w:sz="0" w:space="0" w:color="auto"/>
                  </w:divBdr>
                  <w:divsChild>
                    <w:div w:id="1150830389">
                      <w:marLeft w:val="-240"/>
                      <w:marRight w:val="-240"/>
                      <w:marTop w:val="0"/>
                      <w:marBottom w:val="0"/>
                      <w:divBdr>
                        <w:top w:val="none" w:sz="0" w:space="0" w:color="auto"/>
                        <w:left w:val="none" w:sz="0" w:space="0" w:color="auto"/>
                        <w:bottom w:val="none" w:sz="0" w:space="0" w:color="auto"/>
                        <w:right w:val="none" w:sz="0" w:space="0" w:color="auto"/>
                      </w:divBdr>
                      <w:divsChild>
                        <w:div w:id="765618966">
                          <w:marLeft w:val="0"/>
                          <w:marRight w:val="0"/>
                          <w:marTop w:val="0"/>
                          <w:marBottom w:val="0"/>
                          <w:divBdr>
                            <w:top w:val="none" w:sz="0" w:space="0" w:color="auto"/>
                            <w:left w:val="none" w:sz="0" w:space="0" w:color="auto"/>
                            <w:bottom w:val="none" w:sz="0" w:space="0" w:color="auto"/>
                            <w:right w:val="none" w:sz="0" w:space="0" w:color="auto"/>
                          </w:divBdr>
                          <w:divsChild>
                            <w:div w:id="676542155">
                              <w:marLeft w:val="0"/>
                              <w:marRight w:val="0"/>
                              <w:marTop w:val="0"/>
                              <w:marBottom w:val="0"/>
                              <w:divBdr>
                                <w:top w:val="none" w:sz="0" w:space="0" w:color="auto"/>
                                <w:left w:val="none" w:sz="0" w:space="0" w:color="auto"/>
                                <w:bottom w:val="none" w:sz="0" w:space="0" w:color="auto"/>
                                <w:right w:val="none" w:sz="0" w:space="0" w:color="auto"/>
                              </w:divBdr>
                            </w:div>
                            <w:div w:id="283662270">
                              <w:marLeft w:val="0"/>
                              <w:marRight w:val="0"/>
                              <w:marTop w:val="0"/>
                              <w:marBottom w:val="0"/>
                              <w:divBdr>
                                <w:top w:val="none" w:sz="0" w:space="0" w:color="auto"/>
                                <w:left w:val="none" w:sz="0" w:space="0" w:color="auto"/>
                                <w:bottom w:val="none" w:sz="0" w:space="0" w:color="auto"/>
                                <w:right w:val="none" w:sz="0" w:space="0" w:color="auto"/>
                              </w:divBdr>
                              <w:divsChild>
                                <w:div w:id="530917963">
                                  <w:marLeft w:val="165"/>
                                  <w:marRight w:val="165"/>
                                  <w:marTop w:val="0"/>
                                  <w:marBottom w:val="0"/>
                                  <w:divBdr>
                                    <w:top w:val="none" w:sz="0" w:space="0" w:color="auto"/>
                                    <w:left w:val="none" w:sz="0" w:space="0" w:color="auto"/>
                                    <w:bottom w:val="none" w:sz="0" w:space="0" w:color="auto"/>
                                    <w:right w:val="none" w:sz="0" w:space="0" w:color="auto"/>
                                  </w:divBdr>
                                  <w:divsChild>
                                    <w:div w:id="1383596076">
                                      <w:marLeft w:val="0"/>
                                      <w:marRight w:val="0"/>
                                      <w:marTop w:val="0"/>
                                      <w:marBottom w:val="0"/>
                                      <w:divBdr>
                                        <w:top w:val="none" w:sz="0" w:space="0" w:color="auto"/>
                                        <w:left w:val="none" w:sz="0" w:space="0" w:color="auto"/>
                                        <w:bottom w:val="none" w:sz="0" w:space="0" w:color="auto"/>
                                        <w:right w:val="none" w:sz="0" w:space="0" w:color="auto"/>
                                      </w:divBdr>
                                      <w:divsChild>
                                        <w:div w:id="842430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179675">
      <w:bodyDiv w:val="1"/>
      <w:marLeft w:val="0"/>
      <w:marRight w:val="0"/>
      <w:marTop w:val="0"/>
      <w:marBottom w:val="0"/>
      <w:divBdr>
        <w:top w:val="none" w:sz="0" w:space="0" w:color="auto"/>
        <w:left w:val="none" w:sz="0" w:space="0" w:color="auto"/>
        <w:bottom w:val="none" w:sz="0" w:space="0" w:color="auto"/>
        <w:right w:val="none" w:sz="0" w:space="0" w:color="auto"/>
      </w:divBdr>
      <w:divsChild>
        <w:div w:id="2125155540">
          <w:marLeft w:val="-480"/>
          <w:marRight w:val="-480"/>
          <w:marTop w:val="0"/>
          <w:marBottom w:val="0"/>
          <w:divBdr>
            <w:top w:val="none" w:sz="0" w:space="0" w:color="auto"/>
            <w:left w:val="none" w:sz="0" w:space="0" w:color="auto"/>
            <w:bottom w:val="none" w:sz="0" w:space="0" w:color="auto"/>
            <w:right w:val="none" w:sz="0" w:space="0" w:color="auto"/>
          </w:divBdr>
          <w:divsChild>
            <w:div w:id="1845166146">
              <w:marLeft w:val="0"/>
              <w:marRight w:val="0"/>
              <w:marTop w:val="0"/>
              <w:marBottom w:val="0"/>
              <w:divBdr>
                <w:top w:val="none" w:sz="0" w:space="0" w:color="auto"/>
                <w:left w:val="none" w:sz="0" w:space="0" w:color="auto"/>
                <w:bottom w:val="none" w:sz="0" w:space="0" w:color="auto"/>
                <w:right w:val="none" w:sz="0" w:space="0" w:color="auto"/>
              </w:divBdr>
              <w:divsChild>
                <w:div w:id="17321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4857">
      <w:bodyDiv w:val="1"/>
      <w:marLeft w:val="0"/>
      <w:marRight w:val="0"/>
      <w:marTop w:val="0"/>
      <w:marBottom w:val="0"/>
      <w:divBdr>
        <w:top w:val="none" w:sz="0" w:space="0" w:color="auto"/>
        <w:left w:val="none" w:sz="0" w:space="0" w:color="auto"/>
        <w:bottom w:val="none" w:sz="0" w:space="0" w:color="auto"/>
        <w:right w:val="none" w:sz="0" w:space="0" w:color="auto"/>
      </w:divBdr>
    </w:div>
    <w:div w:id="1271352425">
      <w:bodyDiv w:val="1"/>
      <w:marLeft w:val="0"/>
      <w:marRight w:val="0"/>
      <w:marTop w:val="0"/>
      <w:marBottom w:val="0"/>
      <w:divBdr>
        <w:top w:val="none" w:sz="0" w:space="0" w:color="auto"/>
        <w:left w:val="none" w:sz="0" w:space="0" w:color="auto"/>
        <w:bottom w:val="none" w:sz="0" w:space="0" w:color="auto"/>
        <w:right w:val="none" w:sz="0" w:space="0" w:color="auto"/>
      </w:divBdr>
      <w:divsChild>
        <w:div w:id="1905874308">
          <w:marLeft w:val="0"/>
          <w:marRight w:val="0"/>
          <w:marTop w:val="0"/>
          <w:marBottom w:val="0"/>
          <w:divBdr>
            <w:top w:val="none" w:sz="0" w:space="0" w:color="auto"/>
            <w:left w:val="none" w:sz="0" w:space="0" w:color="auto"/>
            <w:bottom w:val="none" w:sz="0" w:space="0" w:color="auto"/>
            <w:right w:val="none" w:sz="0" w:space="0" w:color="auto"/>
          </w:divBdr>
        </w:div>
      </w:divsChild>
    </w:div>
    <w:div w:id="1297881727">
      <w:bodyDiv w:val="1"/>
      <w:marLeft w:val="0"/>
      <w:marRight w:val="0"/>
      <w:marTop w:val="0"/>
      <w:marBottom w:val="0"/>
      <w:divBdr>
        <w:top w:val="none" w:sz="0" w:space="0" w:color="auto"/>
        <w:left w:val="none" w:sz="0" w:space="0" w:color="auto"/>
        <w:bottom w:val="none" w:sz="0" w:space="0" w:color="auto"/>
        <w:right w:val="none" w:sz="0" w:space="0" w:color="auto"/>
      </w:divBdr>
    </w:div>
    <w:div w:id="1335764870">
      <w:bodyDiv w:val="1"/>
      <w:marLeft w:val="0"/>
      <w:marRight w:val="0"/>
      <w:marTop w:val="0"/>
      <w:marBottom w:val="0"/>
      <w:divBdr>
        <w:top w:val="none" w:sz="0" w:space="0" w:color="auto"/>
        <w:left w:val="none" w:sz="0" w:space="0" w:color="auto"/>
        <w:bottom w:val="none" w:sz="0" w:space="0" w:color="auto"/>
        <w:right w:val="none" w:sz="0" w:space="0" w:color="auto"/>
      </w:divBdr>
      <w:divsChild>
        <w:div w:id="874193476">
          <w:marLeft w:val="-480"/>
          <w:marRight w:val="-480"/>
          <w:marTop w:val="0"/>
          <w:marBottom w:val="0"/>
          <w:divBdr>
            <w:top w:val="none" w:sz="0" w:space="0" w:color="auto"/>
            <w:left w:val="none" w:sz="0" w:space="0" w:color="auto"/>
            <w:bottom w:val="none" w:sz="0" w:space="0" w:color="auto"/>
            <w:right w:val="none" w:sz="0" w:space="0" w:color="auto"/>
          </w:divBdr>
          <w:divsChild>
            <w:div w:id="1442532579">
              <w:marLeft w:val="0"/>
              <w:marRight w:val="0"/>
              <w:marTop w:val="0"/>
              <w:marBottom w:val="0"/>
              <w:divBdr>
                <w:top w:val="none" w:sz="0" w:space="0" w:color="auto"/>
                <w:left w:val="none" w:sz="0" w:space="0" w:color="auto"/>
                <w:bottom w:val="none" w:sz="0" w:space="0" w:color="auto"/>
                <w:right w:val="none" w:sz="0" w:space="0" w:color="auto"/>
              </w:divBdr>
              <w:divsChild>
                <w:div w:id="11949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8778">
      <w:bodyDiv w:val="1"/>
      <w:marLeft w:val="0"/>
      <w:marRight w:val="0"/>
      <w:marTop w:val="0"/>
      <w:marBottom w:val="0"/>
      <w:divBdr>
        <w:top w:val="none" w:sz="0" w:space="0" w:color="auto"/>
        <w:left w:val="none" w:sz="0" w:space="0" w:color="auto"/>
        <w:bottom w:val="none" w:sz="0" w:space="0" w:color="auto"/>
        <w:right w:val="none" w:sz="0" w:space="0" w:color="auto"/>
      </w:divBdr>
    </w:div>
    <w:div w:id="1430854084">
      <w:bodyDiv w:val="1"/>
      <w:marLeft w:val="0"/>
      <w:marRight w:val="0"/>
      <w:marTop w:val="0"/>
      <w:marBottom w:val="0"/>
      <w:divBdr>
        <w:top w:val="none" w:sz="0" w:space="0" w:color="auto"/>
        <w:left w:val="none" w:sz="0" w:space="0" w:color="auto"/>
        <w:bottom w:val="none" w:sz="0" w:space="0" w:color="auto"/>
        <w:right w:val="none" w:sz="0" w:space="0" w:color="auto"/>
      </w:divBdr>
      <w:divsChild>
        <w:div w:id="200364210">
          <w:marLeft w:val="0"/>
          <w:marRight w:val="0"/>
          <w:marTop w:val="0"/>
          <w:marBottom w:val="0"/>
          <w:divBdr>
            <w:top w:val="none" w:sz="0" w:space="0" w:color="auto"/>
            <w:left w:val="none" w:sz="0" w:space="0" w:color="auto"/>
            <w:bottom w:val="none" w:sz="0" w:space="0" w:color="auto"/>
            <w:right w:val="none" w:sz="0" w:space="0" w:color="auto"/>
          </w:divBdr>
        </w:div>
      </w:divsChild>
    </w:div>
    <w:div w:id="1433892225">
      <w:bodyDiv w:val="1"/>
      <w:marLeft w:val="0"/>
      <w:marRight w:val="0"/>
      <w:marTop w:val="0"/>
      <w:marBottom w:val="0"/>
      <w:divBdr>
        <w:top w:val="none" w:sz="0" w:space="0" w:color="auto"/>
        <w:left w:val="none" w:sz="0" w:space="0" w:color="auto"/>
        <w:bottom w:val="none" w:sz="0" w:space="0" w:color="auto"/>
        <w:right w:val="none" w:sz="0" w:space="0" w:color="auto"/>
      </w:divBdr>
      <w:divsChild>
        <w:div w:id="642151861">
          <w:marLeft w:val="0"/>
          <w:marRight w:val="0"/>
          <w:marTop w:val="0"/>
          <w:marBottom w:val="0"/>
          <w:divBdr>
            <w:top w:val="none" w:sz="0" w:space="0" w:color="auto"/>
            <w:left w:val="none" w:sz="0" w:space="0" w:color="auto"/>
            <w:bottom w:val="none" w:sz="0" w:space="0" w:color="auto"/>
            <w:right w:val="none" w:sz="0" w:space="0" w:color="auto"/>
          </w:divBdr>
        </w:div>
      </w:divsChild>
    </w:div>
    <w:div w:id="1602447303">
      <w:bodyDiv w:val="1"/>
      <w:marLeft w:val="0"/>
      <w:marRight w:val="0"/>
      <w:marTop w:val="0"/>
      <w:marBottom w:val="0"/>
      <w:divBdr>
        <w:top w:val="none" w:sz="0" w:space="0" w:color="auto"/>
        <w:left w:val="none" w:sz="0" w:space="0" w:color="auto"/>
        <w:bottom w:val="none" w:sz="0" w:space="0" w:color="auto"/>
        <w:right w:val="none" w:sz="0" w:space="0" w:color="auto"/>
      </w:divBdr>
    </w:div>
    <w:div w:id="1636135868">
      <w:bodyDiv w:val="1"/>
      <w:marLeft w:val="0"/>
      <w:marRight w:val="0"/>
      <w:marTop w:val="0"/>
      <w:marBottom w:val="0"/>
      <w:divBdr>
        <w:top w:val="none" w:sz="0" w:space="0" w:color="auto"/>
        <w:left w:val="none" w:sz="0" w:space="0" w:color="auto"/>
        <w:bottom w:val="none" w:sz="0" w:space="0" w:color="auto"/>
        <w:right w:val="none" w:sz="0" w:space="0" w:color="auto"/>
      </w:divBdr>
    </w:div>
    <w:div w:id="1699308322">
      <w:bodyDiv w:val="1"/>
      <w:marLeft w:val="0"/>
      <w:marRight w:val="0"/>
      <w:marTop w:val="0"/>
      <w:marBottom w:val="0"/>
      <w:divBdr>
        <w:top w:val="none" w:sz="0" w:space="0" w:color="auto"/>
        <w:left w:val="none" w:sz="0" w:space="0" w:color="auto"/>
        <w:bottom w:val="none" w:sz="0" w:space="0" w:color="auto"/>
        <w:right w:val="none" w:sz="0" w:space="0" w:color="auto"/>
      </w:divBdr>
      <w:divsChild>
        <w:div w:id="2020807494">
          <w:marLeft w:val="0"/>
          <w:marRight w:val="0"/>
          <w:marTop w:val="0"/>
          <w:marBottom w:val="0"/>
          <w:divBdr>
            <w:top w:val="none" w:sz="0" w:space="0" w:color="auto"/>
            <w:left w:val="none" w:sz="0" w:space="0" w:color="auto"/>
            <w:bottom w:val="none" w:sz="0" w:space="0" w:color="auto"/>
            <w:right w:val="none" w:sz="0" w:space="0" w:color="auto"/>
          </w:divBdr>
        </w:div>
      </w:divsChild>
    </w:div>
    <w:div w:id="1745838497">
      <w:bodyDiv w:val="1"/>
      <w:marLeft w:val="0"/>
      <w:marRight w:val="0"/>
      <w:marTop w:val="0"/>
      <w:marBottom w:val="0"/>
      <w:divBdr>
        <w:top w:val="none" w:sz="0" w:space="0" w:color="auto"/>
        <w:left w:val="none" w:sz="0" w:space="0" w:color="auto"/>
        <w:bottom w:val="none" w:sz="0" w:space="0" w:color="auto"/>
        <w:right w:val="none" w:sz="0" w:space="0" w:color="auto"/>
      </w:divBdr>
    </w:div>
    <w:div w:id="1836144873">
      <w:bodyDiv w:val="1"/>
      <w:marLeft w:val="0"/>
      <w:marRight w:val="0"/>
      <w:marTop w:val="0"/>
      <w:marBottom w:val="0"/>
      <w:divBdr>
        <w:top w:val="none" w:sz="0" w:space="0" w:color="auto"/>
        <w:left w:val="none" w:sz="0" w:space="0" w:color="auto"/>
        <w:bottom w:val="none" w:sz="0" w:space="0" w:color="auto"/>
        <w:right w:val="none" w:sz="0" w:space="0" w:color="auto"/>
      </w:divBdr>
    </w:div>
    <w:div w:id="1858806926">
      <w:bodyDiv w:val="1"/>
      <w:marLeft w:val="0"/>
      <w:marRight w:val="0"/>
      <w:marTop w:val="0"/>
      <w:marBottom w:val="0"/>
      <w:divBdr>
        <w:top w:val="none" w:sz="0" w:space="0" w:color="auto"/>
        <w:left w:val="none" w:sz="0" w:space="0" w:color="auto"/>
        <w:bottom w:val="none" w:sz="0" w:space="0" w:color="auto"/>
        <w:right w:val="none" w:sz="0" w:space="0" w:color="auto"/>
      </w:divBdr>
    </w:div>
    <w:div w:id="1870296363">
      <w:bodyDiv w:val="1"/>
      <w:marLeft w:val="0"/>
      <w:marRight w:val="0"/>
      <w:marTop w:val="0"/>
      <w:marBottom w:val="0"/>
      <w:divBdr>
        <w:top w:val="none" w:sz="0" w:space="0" w:color="auto"/>
        <w:left w:val="none" w:sz="0" w:space="0" w:color="auto"/>
        <w:bottom w:val="none" w:sz="0" w:space="0" w:color="auto"/>
        <w:right w:val="none" w:sz="0" w:space="0" w:color="auto"/>
      </w:divBdr>
      <w:divsChild>
        <w:div w:id="739251878">
          <w:marLeft w:val="0"/>
          <w:marRight w:val="0"/>
          <w:marTop w:val="0"/>
          <w:marBottom w:val="0"/>
          <w:divBdr>
            <w:top w:val="none" w:sz="0" w:space="0" w:color="auto"/>
            <w:left w:val="none" w:sz="0" w:space="0" w:color="auto"/>
            <w:bottom w:val="none" w:sz="0" w:space="0" w:color="auto"/>
            <w:right w:val="none" w:sz="0" w:space="0" w:color="auto"/>
          </w:divBdr>
        </w:div>
      </w:divsChild>
    </w:div>
    <w:div w:id="2036928126">
      <w:bodyDiv w:val="1"/>
      <w:marLeft w:val="0"/>
      <w:marRight w:val="0"/>
      <w:marTop w:val="0"/>
      <w:marBottom w:val="0"/>
      <w:divBdr>
        <w:top w:val="none" w:sz="0" w:space="0" w:color="auto"/>
        <w:left w:val="none" w:sz="0" w:space="0" w:color="auto"/>
        <w:bottom w:val="none" w:sz="0" w:space="0" w:color="auto"/>
        <w:right w:val="none" w:sz="0" w:space="0" w:color="auto"/>
      </w:divBdr>
      <w:divsChild>
        <w:div w:id="1153453582">
          <w:marLeft w:val="0"/>
          <w:marRight w:val="0"/>
          <w:marTop w:val="0"/>
          <w:marBottom w:val="0"/>
          <w:divBdr>
            <w:top w:val="none" w:sz="0" w:space="0" w:color="auto"/>
            <w:left w:val="none" w:sz="0" w:space="0" w:color="auto"/>
            <w:bottom w:val="none" w:sz="0" w:space="0" w:color="auto"/>
            <w:right w:val="none" w:sz="0" w:space="0" w:color="auto"/>
          </w:divBdr>
        </w:div>
        <w:div w:id="324207098">
          <w:marLeft w:val="0"/>
          <w:marRight w:val="0"/>
          <w:marTop w:val="0"/>
          <w:marBottom w:val="0"/>
          <w:divBdr>
            <w:top w:val="none" w:sz="0" w:space="0" w:color="auto"/>
            <w:left w:val="none" w:sz="0" w:space="0" w:color="auto"/>
            <w:bottom w:val="none" w:sz="0" w:space="0" w:color="auto"/>
            <w:right w:val="none" w:sz="0" w:space="0" w:color="auto"/>
          </w:divBdr>
        </w:div>
        <w:div w:id="1610509118">
          <w:marLeft w:val="0"/>
          <w:marRight w:val="0"/>
          <w:marTop w:val="0"/>
          <w:marBottom w:val="0"/>
          <w:divBdr>
            <w:top w:val="none" w:sz="0" w:space="0" w:color="auto"/>
            <w:left w:val="none" w:sz="0" w:space="0" w:color="auto"/>
            <w:bottom w:val="none" w:sz="0" w:space="0" w:color="auto"/>
            <w:right w:val="none" w:sz="0" w:space="0" w:color="auto"/>
          </w:divBdr>
        </w:div>
        <w:div w:id="1271623736">
          <w:marLeft w:val="0"/>
          <w:marRight w:val="0"/>
          <w:marTop w:val="0"/>
          <w:marBottom w:val="0"/>
          <w:divBdr>
            <w:top w:val="none" w:sz="0" w:space="0" w:color="auto"/>
            <w:left w:val="none" w:sz="0" w:space="0" w:color="auto"/>
            <w:bottom w:val="none" w:sz="0" w:space="0" w:color="auto"/>
            <w:right w:val="none" w:sz="0" w:space="0" w:color="auto"/>
          </w:divBdr>
        </w:div>
        <w:div w:id="1078211539">
          <w:marLeft w:val="0"/>
          <w:marRight w:val="0"/>
          <w:marTop w:val="0"/>
          <w:marBottom w:val="0"/>
          <w:divBdr>
            <w:top w:val="none" w:sz="0" w:space="0" w:color="auto"/>
            <w:left w:val="none" w:sz="0" w:space="0" w:color="auto"/>
            <w:bottom w:val="none" w:sz="0" w:space="0" w:color="auto"/>
            <w:right w:val="none" w:sz="0" w:space="0" w:color="auto"/>
          </w:divBdr>
        </w:div>
        <w:div w:id="1318412575">
          <w:marLeft w:val="0"/>
          <w:marRight w:val="0"/>
          <w:marTop w:val="0"/>
          <w:marBottom w:val="0"/>
          <w:divBdr>
            <w:top w:val="none" w:sz="0" w:space="0" w:color="auto"/>
            <w:left w:val="none" w:sz="0" w:space="0" w:color="auto"/>
            <w:bottom w:val="none" w:sz="0" w:space="0" w:color="auto"/>
            <w:right w:val="none" w:sz="0" w:space="0" w:color="auto"/>
          </w:divBdr>
        </w:div>
        <w:div w:id="289166858">
          <w:marLeft w:val="0"/>
          <w:marRight w:val="0"/>
          <w:marTop w:val="0"/>
          <w:marBottom w:val="0"/>
          <w:divBdr>
            <w:top w:val="none" w:sz="0" w:space="0" w:color="auto"/>
            <w:left w:val="none" w:sz="0" w:space="0" w:color="auto"/>
            <w:bottom w:val="none" w:sz="0" w:space="0" w:color="auto"/>
            <w:right w:val="none" w:sz="0" w:space="0" w:color="auto"/>
          </w:divBdr>
        </w:div>
        <w:div w:id="1284001409">
          <w:marLeft w:val="0"/>
          <w:marRight w:val="0"/>
          <w:marTop w:val="0"/>
          <w:marBottom w:val="0"/>
          <w:divBdr>
            <w:top w:val="none" w:sz="0" w:space="0" w:color="auto"/>
            <w:left w:val="none" w:sz="0" w:space="0" w:color="auto"/>
            <w:bottom w:val="none" w:sz="0" w:space="0" w:color="auto"/>
            <w:right w:val="none" w:sz="0" w:space="0" w:color="auto"/>
          </w:divBdr>
        </w:div>
        <w:div w:id="1094208137">
          <w:marLeft w:val="0"/>
          <w:marRight w:val="0"/>
          <w:marTop w:val="0"/>
          <w:marBottom w:val="0"/>
          <w:divBdr>
            <w:top w:val="none" w:sz="0" w:space="0" w:color="auto"/>
            <w:left w:val="none" w:sz="0" w:space="0" w:color="auto"/>
            <w:bottom w:val="none" w:sz="0" w:space="0" w:color="auto"/>
            <w:right w:val="none" w:sz="0" w:space="0" w:color="auto"/>
          </w:divBdr>
        </w:div>
        <w:div w:id="118450081">
          <w:marLeft w:val="0"/>
          <w:marRight w:val="0"/>
          <w:marTop w:val="0"/>
          <w:marBottom w:val="0"/>
          <w:divBdr>
            <w:top w:val="none" w:sz="0" w:space="0" w:color="auto"/>
            <w:left w:val="none" w:sz="0" w:space="0" w:color="auto"/>
            <w:bottom w:val="none" w:sz="0" w:space="0" w:color="auto"/>
            <w:right w:val="none" w:sz="0" w:space="0" w:color="auto"/>
          </w:divBdr>
        </w:div>
        <w:div w:id="741022114">
          <w:marLeft w:val="0"/>
          <w:marRight w:val="0"/>
          <w:marTop w:val="0"/>
          <w:marBottom w:val="0"/>
          <w:divBdr>
            <w:top w:val="none" w:sz="0" w:space="0" w:color="auto"/>
            <w:left w:val="none" w:sz="0" w:space="0" w:color="auto"/>
            <w:bottom w:val="none" w:sz="0" w:space="0" w:color="auto"/>
            <w:right w:val="none" w:sz="0" w:space="0" w:color="auto"/>
          </w:divBdr>
        </w:div>
      </w:divsChild>
    </w:div>
    <w:div w:id="20830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hgarcias@ube.edu.ec" TargetMode="External"/><Relationship Id="rId26" Type="http://schemas.openxmlformats.org/officeDocument/2006/relationships/hyperlink" Target="https://repositorio.uasb.edu.ec/handle/10644/9790" TargetMode="External"/><Relationship Id="rId39" Type="http://schemas.openxmlformats.org/officeDocument/2006/relationships/theme" Target="theme/theme1.xml"/><Relationship Id="rId21" Type="http://schemas.openxmlformats.org/officeDocument/2006/relationships/hyperlink" Target="http://mqrinvestigar.com/" TargetMode="External"/><Relationship Id="rId34" Type="http://schemas.openxmlformats.org/officeDocument/2006/relationships/hyperlink" Target="https://esacc.corteconstitucional.gob.ec/storage/api/v1/10_DWL_FL/e2NhcnBldGE6J3RyYW1pdGUnLCB1dWlkOidiNjAzZjU5Yi0yODY0LTQyNjktOTY4Yy0xOTI5ZjdlY2U0MDMucGRmJ30" TargetMode="External"/><Relationship Id="rId7" Type="http://schemas.openxmlformats.org/officeDocument/2006/relationships/endnotes" Target="endnotes.xml"/><Relationship Id="rId12" Type="http://schemas.openxmlformats.org/officeDocument/2006/relationships/hyperlink" Target="mailto:correo@uce.edu.ec" TargetMode="External"/><Relationship Id="rId17" Type="http://schemas.openxmlformats.org/officeDocument/2006/relationships/hyperlink" Target="https://orcid.org/0000-1234-1234-1234" TargetMode="External"/><Relationship Id="rId25" Type="http://schemas.openxmlformats.org/officeDocument/2006/relationships/hyperlink" Target="https://www.corteidh.or.cr/docs/casos/articulos/seriec_107_esp.pdf" TargetMode="External"/><Relationship Id="rId33" Type="http://schemas.openxmlformats.org/officeDocument/2006/relationships/hyperlink" Target="https://esacc.corteconstitucional.gob.ec/storage/api/v1/10_DWL_FL/e2NhcnBldGE6J3RyYW1pdGUnLCB1dWlkOic0N2I4MmFhYy1iODA4LTRjMWEtODgwMy0xYTA4YTQzZjkxYTIucGRmJ3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tlandys@ube.edu.ec" TargetMode="External"/><Relationship Id="rId20" Type="http://schemas.openxmlformats.org/officeDocument/2006/relationships/hyperlink" Target="https://orcid.org/0000-0002-8695-5005" TargetMode="External"/><Relationship Id="rId29" Type="http://schemas.openxmlformats.org/officeDocument/2006/relationships/hyperlink" Target="https://dspace.uniandes.edu.ec/handle/123456789/11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5710-8029" TargetMode="External"/><Relationship Id="rId24" Type="http://schemas.openxmlformats.org/officeDocument/2006/relationships/hyperlink" Target="https://www.cortenacional.gob.ec/cnj/images/Produccion_CNJ/aportes%20juridicos/Recurso.pdf" TargetMode="External"/><Relationship Id="rId32" Type="http://schemas.openxmlformats.org/officeDocument/2006/relationships/hyperlink" Target="https://esacc.corteconstitucional.gob.ec/storage/api/v1/10_DWL_FL/e2NhcnBldGE6J3RyYW1pdGUnLCB1dWlkOic3YTNjMTc3MS02YzkwLTQzZmEtYTEyMS0zZmM4NmRmMjIxYjkucGRmJ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cortenacional.gob.ec/cnj/images/pdf/resoluciones_obligatorias/2015/1510%20Triple%20reiteracion%20Admisibilidad%20del%20recurso%20de%20casacion%20penal.pdf&#180;" TargetMode="External"/><Relationship Id="rId28" Type="http://schemas.openxmlformats.org/officeDocument/2006/relationships/hyperlink" Target="https://repositorio.uasb.edu.ec/handle/10644/4639"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www.scielo.org.mx/pdf/dilemas/v9nspe1/2007-7890-dilemas-9-spe1-00077.pdf" TargetMode="External"/><Relationship Id="rId4" Type="http://schemas.openxmlformats.org/officeDocument/2006/relationships/settings" Target="settings.xml"/><Relationship Id="rId9" Type="http://schemas.openxmlformats.org/officeDocument/2006/relationships/hyperlink" Target="mailto:correo@uce.edu.ec" TargetMode="External"/><Relationship Id="rId14" Type="http://schemas.openxmlformats.org/officeDocument/2006/relationships/hyperlink" Target="https://orcid.org/0009-0000-9132-7014" TargetMode="External"/><Relationship Id="rId22" Type="http://schemas.openxmlformats.org/officeDocument/2006/relationships/image" Target="media/image7.png"/><Relationship Id="rId27" Type="http://schemas.openxmlformats.org/officeDocument/2006/relationships/hyperlink" Target="https://repositorio.uotavalo.edu.ec/items/c53282c8-6065-44f0-87e3-2c960d144745/full" TargetMode="External"/><Relationship Id="rId30" Type="http://schemas.openxmlformats.org/officeDocument/2006/relationships/hyperlink" Target="https://dspace.uniandes.edu.ec/handle/123456789/7236" TargetMode="External"/><Relationship Id="rId35" Type="http://schemas.openxmlformats.org/officeDocument/2006/relationships/hyperlink" Target="https://goo.su/9cvdmlL" TargetMode="External"/><Relationship Id="rId8" Type="http://schemas.openxmlformats.org/officeDocument/2006/relationships/image" Target="media/image5.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41D4-8786-4288-88AF-E837EA52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8469</Words>
  <Characters>46583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MONA</cp:lastModifiedBy>
  <cp:revision>2</cp:revision>
  <dcterms:created xsi:type="dcterms:W3CDTF">2025-06-14T00:32:00Z</dcterms:created>
  <dcterms:modified xsi:type="dcterms:W3CDTF">2025-06-14T00:32:00Z</dcterms:modified>
</cp:coreProperties>
</file>